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BDF2" w14:textId="77777777" w:rsidR="00425762" w:rsidRPr="00425762" w:rsidRDefault="00425762" w:rsidP="00425762">
      <w:pPr>
        <w:rPr>
          <w:b/>
          <w:bCs/>
        </w:rPr>
      </w:pPr>
      <w:r w:rsidRPr="00425762">
        <w:rPr>
          <w:b/>
          <w:bCs/>
        </w:rPr>
        <w:t>COUR DE CASSATION</w:t>
      </w:r>
    </w:p>
    <w:p w14:paraId="5368E074" w14:textId="77777777" w:rsidR="00425762" w:rsidRPr="00425762" w:rsidRDefault="00425762" w:rsidP="00425762">
      <w:pPr>
        <w:rPr>
          <w:b/>
          <w:bCs/>
        </w:rPr>
      </w:pPr>
      <w:r w:rsidRPr="00425762">
        <w:rPr>
          <w:b/>
          <w:bCs/>
        </w:rPr>
        <w:t>Chambre sociale</w:t>
      </w:r>
    </w:p>
    <w:p w14:paraId="79779F6C" w14:textId="77777777" w:rsidR="00425762" w:rsidRPr="00425762" w:rsidRDefault="00425762" w:rsidP="00425762">
      <w:r w:rsidRPr="00425762">
        <w:rPr>
          <w:b/>
          <w:bCs/>
        </w:rPr>
        <w:t>Audience publique du 1er avril 2026</w:t>
      </w:r>
    </w:p>
    <w:p w14:paraId="7D2BF7E7" w14:textId="77777777" w:rsidR="00425762" w:rsidRPr="00425762" w:rsidRDefault="00425762" w:rsidP="00425762">
      <w:r w:rsidRPr="00425762">
        <w:rPr>
          <w:b/>
          <w:bCs/>
        </w:rPr>
        <w:t>Cassation</w:t>
      </w:r>
    </w:p>
    <w:p w14:paraId="1AD25AEC" w14:textId="77777777" w:rsidR="00425762" w:rsidRPr="00425762" w:rsidRDefault="00425762" w:rsidP="00425762">
      <w:r w:rsidRPr="00425762">
        <w:pict w14:anchorId="528AB55D">
          <v:rect id="_x0000_i1025" style="width:0;height:1.5pt" o:hralign="center" o:hrstd="t" o:hr="t" fillcolor="#a0a0a0" stroked="f"/>
        </w:pict>
      </w:r>
    </w:p>
    <w:p w14:paraId="12F6C8E8" w14:textId="77777777" w:rsidR="00425762" w:rsidRPr="00425762" w:rsidRDefault="00425762" w:rsidP="00425762">
      <w:r w:rsidRPr="00425762">
        <w:rPr>
          <w:b/>
          <w:bCs/>
        </w:rPr>
        <w:t>Pourvoi n° 25</w:t>
      </w:r>
      <w:r w:rsidRPr="00425762">
        <w:rPr>
          <w:b/>
          <w:bCs/>
        </w:rPr>
        <w:noBreakHyphen/>
        <w:t>99.999</w:t>
      </w:r>
    </w:p>
    <w:p w14:paraId="20863676" w14:textId="77777777" w:rsidR="00425762" w:rsidRPr="00425762" w:rsidRDefault="00425762" w:rsidP="00425762">
      <w:r w:rsidRPr="00425762">
        <w:pict w14:anchorId="2E5C80F6">
          <v:rect id="_x0000_i1026" style="width:0;height:1.5pt" o:hralign="center" o:hrstd="t" o:hr="t" fillcolor="#a0a0a0" stroked="f"/>
        </w:pict>
      </w:r>
    </w:p>
    <w:p w14:paraId="57E41FF6" w14:textId="77777777" w:rsidR="00425762" w:rsidRPr="00425762" w:rsidRDefault="00425762" w:rsidP="00425762">
      <w:pPr>
        <w:rPr>
          <w:b/>
          <w:bCs/>
        </w:rPr>
      </w:pPr>
      <w:r w:rsidRPr="00425762">
        <w:rPr>
          <w:b/>
          <w:bCs/>
        </w:rPr>
        <w:t>ARRÊT DE LA COUR DE CASSATION, CHAMBRE SOCIALE, DU 1er AVRIL 2026</w:t>
      </w:r>
    </w:p>
    <w:p w14:paraId="65AB0B10" w14:textId="77777777" w:rsidR="00425762" w:rsidRPr="00425762" w:rsidRDefault="00425762" w:rsidP="00425762">
      <w:r w:rsidRPr="00425762">
        <w:pict w14:anchorId="2DCC1E7B">
          <v:rect id="_x0000_i1027" style="width:0;height:1.5pt" o:hralign="center" o:hrstd="t" o:hr="t" fillcolor="#a0a0a0" stroked="f"/>
        </w:pict>
      </w:r>
    </w:p>
    <w:p w14:paraId="6DD457D3" w14:textId="77777777" w:rsidR="00425762" w:rsidRPr="00425762" w:rsidRDefault="00425762" w:rsidP="00425762">
      <w:pPr>
        <w:rPr>
          <w:b/>
          <w:bCs/>
        </w:rPr>
      </w:pPr>
      <w:r w:rsidRPr="00425762">
        <w:rPr>
          <w:b/>
          <w:bCs/>
        </w:rPr>
        <w:t>Faits et procédure</w:t>
      </w:r>
    </w:p>
    <w:p w14:paraId="063A32E4" w14:textId="77777777" w:rsidR="00425762" w:rsidRPr="00425762" w:rsidRDefault="00425762" w:rsidP="00425762">
      <w:r w:rsidRPr="00425762">
        <w:t>Selon l’arrêt attaqué (Paris, 12 février 2025),</w:t>
      </w:r>
      <w:r w:rsidRPr="00425762">
        <w:br/>
        <w:t>M. X…, engagé par la société Y… en qualité de salarié, a été convoqué à une réunion professionnelle fixée un vendredi à 17 h 58, présentée comme urgente et stratégique, sans ordre du jour précis.</w:t>
      </w:r>
    </w:p>
    <w:p w14:paraId="01BF0469" w14:textId="77777777" w:rsidR="00425762" w:rsidRPr="00425762" w:rsidRDefault="00425762" w:rsidP="00425762">
      <w:r w:rsidRPr="00425762">
        <w:t>Au cours de cette réunion, l’employeur a annoncé une réorganisation à effet immédiat, laquelle n’a donné lieu à aucune mesure concrète ni décision identifiable.</w:t>
      </w:r>
    </w:p>
    <w:p w14:paraId="1818F0BC" w14:textId="77777777" w:rsidR="00425762" w:rsidRPr="00425762" w:rsidRDefault="00425762" w:rsidP="00425762">
      <w:r w:rsidRPr="00425762">
        <w:t>Estimant que cette situation avait porté atteinte à ses conditions de travail et à sa sérénité personnelle, le salarié a saisi la juridiction prud’homale de demandes indemnitaires pour manquement de l’employeur à ses obligations contractuelles.</w:t>
      </w:r>
    </w:p>
    <w:p w14:paraId="0FD825CF" w14:textId="77777777" w:rsidR="00425762" w:rsidRPr="00425762" w:rsidRDefault="00425762" w:rsidP="00425762">
      <w:r w:rsidRPr="00425762">
        <w:t>Débouté de ses demandes, le salarié a interjeté appel.</w:t>
      </w:r>
    </w:p>
    <w:p w14:paraId="722F2194" w14:textId="77777777" w:rsidR="00425762" w:rsidRPr="00425762" w:rsidRDefault="00425762" w:rsidP="00425762">
      <w:r w:rsidRPr="00425762">
        <w:t>La cour d’appel a confirmé le jugement.</w:t>
      </w:r>
    </w:p>
    <w:p w14:paraId="1528317D" w14:textId="77777777" w:rsidR="00425762" w:rsidRPr="00425762" w:rsidRDefault="00425762" w:rsidP="00425762">
      <w:r w:rsidRPr="00425762">
        <w:pict w14:anchorId="0ABA289B">
          <v:rect id="_x0000_i1028" style="width:0;height:1.5pt" o:hralign="center" o:hrstd="t" o:hr="t" fillcolor="#a0a0a0" stroked="f"/>
        </w:pict>
      </w:r>
    </w:p>
    <w:p w14:paraId="41FF52AA" w14:textId="77777777" w:rsidR="00425762" w:rsidRPr="00425762" w:rsidRDefault="00425762" w:rsidP="00425762">
      <w:pPr>
        <w:rPr>
          <w:b/>
          <w:bCs/>
        </w:rPr>
      </w:pPr>
      <w:r w:rsidRPr="00425762">
        <w:rPr>
          <w:b/>
          <w:bCs/>
        </w:rPr>
        <w:t>Examen du moyen</w:t>
      </w:r>
    </w:p>
    <w:p w14:paraId="7B131DD1" w14:textId="77777777" w:rsidR="00425762" w:rsidRPr="00425762" w:rsidRDefault="00425762" w:rsidP="00425762">
      <w:r w:rsidRPr="00425762">
        <w:rPr>
          <w:b/>
          <w:bCs/>
        </w:rPr>
        <w:t>Sur le moyen unique :</w:t>
      </w:r>
    </w:p>
    <w:p w14:paraId="276BE7DE" w14:textId="77777777" w:rsidR="00425762" w:rsidRPr="00425762" w:rsidRDefault="00425762" w:rsidP="00425762">
      <w:r w:rsidRPr="00425762">
        <w:t>Le salarié fait grief à l’arrêt de rejeter ses demandes, alors :</w:t>
      </w:r>
    </w:p>
    <w:p w14:paraId="71AAFCBF" w14:textId="77777777" w:rsidR="00425762" w:rsidRPr="00425762" w:rsidRDefault="00425762" w:rsidP="00425762">
      <w:pPr>
        <w:numPr>
          <w:ilvl w:val="0"/>
          <w:numId w:val="1"/>
        </w:numPr>
      </w:pPr>
      <w:proofErr w:type="gramStart"/>
      <w:r w:rsidRPr="00425762">
        <w:t>que</w:t>
      </w:r>
      <w:proofErr w:type="gramEnd"/>
      <w:r w:rsidRPr="00425762">
        <w:t xml:space="preserve"> le contrat de travail doit être exécuté de bonne foi ;</w:t>
      </w:r>
    </w:p>
    <w:p w14:paraId="47AF2811" w14:textId="77777777" w:rsidR="00425762" w:rsidRPr="00425762" w:rsidRDefault="00425762" w:rsidP="00425762">
      <w:pPr>
        <w:numPr>
          <w:ilvl w:val="0"/>
          <w:numId w:val="1"/>
        </w:numPr>
      </w:pPr>
      <w:proofErr w:type="gramStart"/>
      <w:r w:rsidRPr="00425762">
        <w:t>que</w:t>
      </w:r>
      <w:proofErr w:type="gramEnd"/>
      <w:r w:rsidRPr="00425762">
        <w:t xml:space="preserve"> la convocation du salarié à une réunion dépourvue d’objet identifiable est constitutive d’un manquement managérial ;</w:t>
      </w:r>
    </w:p>
    <w:p w14:paraId="25A0F79C" w14:textId="77777777" w:rsidR="00425762" w:rsidRPr="00425762" w:rsidRDefault="00425762" w:rsidP="00425762">
      <w:pPr>
        <w:numPr>
          <w:ilvl w:val="0"/>
          <w:numId w:val="1"/>
        </w:numPr>
      </w:pPr>
      <w:proofErr w:type="gramStart"/>
      <w:r w:rsidRPr="00425762">
        <w:t>que</w:t>
      </w:r>
      <w:proofErr w:type="gramEnd"/>
      <w:r w:rsidRPr="00425762">
        <w:t xml:space="preserve"> l’atteinte portée à l’équilibre psychologique du salarié à l’approche du repos hebdomadaire ouvre droit à réparation.</w:t>
      </w:r>
    </w:p>
    <w:p w14:paraId="2B47D093" w14:textId="77777777" w:rsidR="00425762" w:rsidRPr="00425762" w:rsidRDefault="00425762" w:rsidP="00425762">
      <w:r w:rsidRPr="00425762">
        <w:pict w14:anchorId="22B48692">
          <v:rect id="_x0000_i1029" style="width:0;height:1.5pt" o:hralign="center" o:hrstd="t" o:hr="t" fillcolor="#a0a0a0" stroked="f"/>
        </w:pict>
      </w:r>
    </w:p>
    <w:p w14:paraId="7D195404" w14:textId="77777777" w:rsidR="00425762" w:rsidRPr="00425762" w:rsidRDefault="00425762" w:rsidP="00425762">
      <w:pPr>
        <w:rPr>
          <w:b/>
          <w:bCs/>
        </w:rPr>
      </w:pPr>
      <w:r w:rsidRPr="00425762">
        <w:rPr>
          <w:b/>
          <w:bCs/>
        </w:rPr>
        <w:lastRenderedPageBreak/>
        <w:t>Réponse de la Cour</w:t>
      </w:r>
    </w:p>
    <w:p w14:paraId="4FB91BA2" w14:textId="77777777" w:rsidR="00425762" w:rsidRPr="00425762" w:rsidRDefault="00425762" w:rsidP="00425762">
      <w:r w:rsidRPr="00425762">
        <w:rPr>
          <w:b/>
          <w:bCs/>
        </w:rPr>
        <w:t>Vu les articles L. 1222</w:t>
      </w:r>
      <w:r w:rsidRPr="00425762">
        <w:rPr>
          <w:b/>
          <w:bCs/>
        </w:rPr>
        <w:noBreakHyphen/>
        <w:t>9</w:t>
      </w:r>
      <w:r w:rsidRPr="00425762">
        <w:rPr>
          <w:b/>
          <w:bCs/>
        </w:rPr>
        <w:noBreakHyphen/>
        <w:t>1, L. 3121</w:t>
      </w:r>
      <w:r w:rsidRPr="00425762">
        <w:rPr>
          <w:b/>
          <w:bCs/>
        </w:rPr>
        <w:noBreakHyphen/>
        <w:t>87</w:t>
      </w:r>
      <w:r w:rsidRPr="00425762">
        <w:rPr>
          <w:b/>
          <w:bCs/>
        </w:rPr>
        <w:noBreakHyphen/>
        <w:t>3 et L. 9999</w:t>
      </w:r>
      <w:r w:rsidRPr="00425762">
        <w:rPr>
          <w:b/>
          <w:bCs/>
        </w:rPr>
        <w:noBreakHyphen/>
        <w:t>1 du code du travail ;</w:t>
      </w:r>
    </w:p>
    <w:p w14:paraId="0B65EB33" w14:textId="77777777" w:rsidR="00425762" w:rsidRPr="00425762" w:rsidRDefault="00425762" w:rsidP="00425762">
      <w:r w:rsidRPr="00425762">
        <w:rPr>
          <w:b/>
          <w:bCs/>
        </w:rPr>
        <w:t>Attendu</w:t>
      </w:r>
      <w:r w:rsidRPr="00425762">
        <w:t>, selon le premier de ces textes, que le contrat de travail est exécuté de bonne foi, ce qui implique une exigence minimale de cohérence et d’intelligibilité dans les décisions managériales ;</w:t>
      </w:r>
    </w:p>
    <w:p w14:paraId="5FFCB2BB" w14:textId="77777777" w:rsidR="00425762" w:rsidRPr="00425762" w:rsidRDefault="00425762" w:rsidP="00425762">
      <w:r w:rsidRPr="00425762">
        <w:rPr>
          <w:b/>
          <w:bCs/>
        </w:rPr>
        <w:t>Attendu</w:t>
      </w:r>
      <w:r w:rsidRPr="00425762">
        <w:t>, selon le deuxième, que toute convocation professionnelle intervenant après le seuil symbolique du vendredi 17 h 30 doit répondre à une nécessité objectivement caractérisée ;</w:t>
      </w:r>
    </w:p>
    <w:p w14:paraId="7C619A67" w14:textId="77777777" w:rsidR="00425762" w:rsidRPr="00425762" w:rsidRDefault="00425762" w:rsidP="00425762">
      <w:r w:rsidRPr="00425762">
        <w:rPr>
          <w:b/>
          <w:bCs/>
        </w:rPr>
        <w:t>Attendu</w:t>
      </w:r>
      <w:r w:rsidRPr="00425762">
        <w:t>, selon le troisième, que nul ne peut être soumis à un suspense professionnel artificiel constitutif d’un trouble managérial anormal ;</w:t>
      </w:r>
    </w:p>
    <w:p w14:paraId="476D65E4" w14:textId="77777777" w:rsidR="00425762" w:rsidRPr="00425762" w:rsidRDefault="00425762" w:rsidP="00425762">
      <w:r w:rsidRPr="00425762">
        <w:rPr>
          <w:b/>
          <w:bCs/>
        </w:rPr>
        <w:t>Attendu</w:t>
      </w:r>
      <w:r w:rsidRPr="00425762">
        <w:t xml:space="preserve"> que, pour débouter le salarié de ses demandes, l’arrêt retient que l’absence de décision concrète à l’issue de la réunion litigieuse relevait du pouvoir de direction de l’employeur ;</w:t>
      </w:r>
    </w:p>
    <w:p w14:paraId="4AEABB10" w14:textId="77777777" w:rsidR="00425762" w:rsidRPr="00425762" w:rsidRDefault="00425762" w:rsidP="00425762">
      <w:r w:rsidRPr="00425762">
        <w:rPr>
          <w:b/>
          <w:bCs/>
        </w:rPr>
        <w:t>Qu’en statuant ainsi</w:t>
      </w:r>
      <w:r w:rsidRPr="00425762">
        <w:t>, alors qu’elle avait constaté que la réunion convoquée en fin de semaine n’avait été justifiée par aucune urgence réelle et n’avait produit pour seul effet que d’altérer durablement la tranquillité d’esprit du salarié jusqu’au lundi matin,</w:t>
      </w:r>
    </w:p>
    <w:p w14:paraId="2A17297C" w14:textId="77777777" w:rsidR="00425762" w:rsidRPr="00425762" w:rsidRDefault="00425762" w:rsidP="00425762">
      <w:proofErr w:type="gramStart"/>
      <w:r w:rsidRPr="00425762">
        <w:t>la</w:t>
      </w:r>
      <w:proofErr w:type="gramEnd"/>
      <w:r w:rsidRPr="00425762">
        <w:t xml:space="preserve"> cour d’appel a violé les textes susvisés.</w:t>
      </w:r>
    </w:p>
    <w:p w14:paraId="559F3743" w14:textId="77777777" w:rsidR="00425762" w:rsidRPr="00425762" w:rsidRDefault="00425762" w:rsidP="00425762">
      <w:r w:rsidRPr="00425762">
        <w:pict w14:anchorId="029B54BA">
          <v:rect id="_x0000_i1030" style="width:0;height:1.5pt" o:hralign="center" o:hrstd="t" o:hr="t" fillcolor="#a0a0a0" stroked="f"/>
        </w:pict>
      </w:r>
    </w:p>
    <w:p w14:paraId="5817EE8A" w14:textId="77777777" w:rsidR="00425762" w:rsidRPr="00425762" w:rsidRDefault="00425762" w:rsidP="00425762">
      <w:pPr>
        <w:rPr>
          <w:b/>
          <w:bCs/>
        </w:rPr>
      </w:pPr>
      <w:r w:rsidRPr="00425762">
        <w:rPr>
          <w:b/>
          <w:bCs/>
        </w:rPr>
        <w:t>PAR CES MOTIFS</w:t>
      </w:r>
    </w:p>
    <w:p w14:paraId="2926FEDF" w14:textId="77777777" w:rsidR="00425762" w:rsidRPr="00425762" w:rsidRDefault="00425762" w:rsidP="00425762">
      <w:r w:rsidRPr="00425762">
        <w:rPr>
          <w:b/>
          <w:bCs/>
        </w:rPr>
        <w:t>CASSE ET ANNULE</w:t>
      </w:r>
      <w:r w:rsidRPr="00425762">
        <w:t>, en toutes ses dispositions, l’arrêt rendu le 12 février 2025 par la cour d’appel de Paris ;</w:t>
      </w:r>
    </w:p>
    <w:p w14:paraId="580C8993" w14:textId="77777777" w:rsidR="00425762" w:rsidRPr="00425762" w:rsidRDefault="00425762" w:rsidP="00425762">
      <w:r w:rsidRPr="00425762">
        <w:rPr>
          <w:rFonts w:ascii="Segoe UI Emoji" w:hAnsi="Segoe UI Emoji" w:cs="Segoe UI Emoji"/>
        </w:rPr>
        <w:t>✅</w:t>
      </w:r>
      <w:r w:rsidRPr="00425762">
        <w:t xml:space="preserve"> Remet l’affaire et les parties dans l’état où elles se trouvaient avant cet arrêt et les renvoie devant la cour d’appel de Versailles, autrement composée ;</w:t>
      </w:r>
    </w:p>
    <w:p w14:paraId="7406C110" w14:textId="77777777" w:rsidR="00425762" w:rsidRPr="00425762" w:rsidRDefault="00425762" w:rsidP="00425762">
      <w:r w:rsidRPr="00425762">
        <w:rPr>
          <w:rFonts w:ascii="Segoe UI Emoji" w:hAnsi="Segoe UI Emoji" w:cs="Segoe UI Emoji"/>
        </w:rPr>
        <w:t>✅</w:t>
      </w:r>
      <w:r w:rsidRPr="00425762">
        <w:t xml:space="preserve"> Dit que la convocation du salarié à une réunion sans objet précis à l’approche du repos hebdomadaire constitue un trouble managérial anormal ;</w:t>
      </w:r>
    </w:p>
    <w:p w14:paraId="42297BE6" w14:textId="77777777" w:rsidR="00425762" w:rsidRPr="00425762" w:rsidRDefault="00425762" w:rsidP="00425762">
      <w:r w:rsidRPr="00425762">
        <w:rPr>
          <w:rFonts w:ascii="Segoe UI Emoji" w:hAnsi="Segoe UI Emoji" w:cs="Segoe UI Emoji"/>
        </w:rPr>
        <w:t>✅</w:t>
      </w:r>
      <w:r w:rsidRPr="00425762">
        <w:t xml:space="preserve"> Condamne la société Y… à verser à M. X… la somme de </w:t>
      </w:r>
      <w:r w:rsidRPr="00425762">
        <w:rPr>
          <w:b/>
          <w:bCs/>
        </w:rPr>
        <w:t>42 euros</w:t>
      </w:r>
      <w:r w:rsidRPr="00425762">
        <w:t xml:space="preserve"> à titre de réparation du préjudice moral ainsi qu’un café chaud servi le premier jour ouvrable suivant ;</w:t>
      </w:r>
    </w:p>
    <w:p w14:paraId="4C82EE69" w14:textId="77777777" w:rsidR="00425762" w:rsidRPr="00425762" w:rsidRDefault="00425762" w:rsidP="00425762">
      <w:r w:rsidRPr="00425762">
        <w:rPr>
          <w:rFonts w:ascii="Segoe UI Emoji" w:hAnsi="Segoe UI Emoji" w:cs="Segoe UI Emoji"/>
        </w:rPr>
        <w:t>✅</w:t>
      </w:r>
      <w:r w:rsidRPr="00425762">
        <w:t xml:space="preserve"> Condamne la société Y… aux dépens ;</w:t>
      </w:r>
    </w:p>
    <w:p w14:paraId="56011367" w14:textId="77777777" w:rsidR="00425762" w:rsidRPr="00425762" w:rsidRDefault="00425762" w:rsidP="00425762">
      <w:r w:rsidRPr="00425762">
        <w:pict w14:anchorId="1C0E1434">
          <v:rect id="_x0000_i1031" style="width:0;height:1.5pt" o:hralign="center" o:hrstd="t" o:hr="t" fillcolor="#a0a0a0" stroked="f"/>
        </w:pict>
      </w:r>
    </w:p>
    <w:p w14:paraId="0252276B" w14:textId="77777777" w:rsidR="00425762" w:rsidRPr="00425762" w:rsidRDefault="00425762" w:rsidP="00425762">
      <w:r w:rsidRPr="00425762">
        <w:t xml:space="preserve">Ainsi fait et jugé par la Cour de cassation, chambre sociale, et prononcé par le président en son audience publique du </w:t>
      </w:r>
      <w:r w:rsidRPr="00425762">
        <w:rPr>
          <w:b/>
          <w:bCs/>
        </w:rPr>
        <w:t>premier avril deux mille vingt</w:t>
      </w:r>
      <w:r w:rsidRPr="00425762">
        <w:rPr>
          <w:b/>
          <w:bCs/>
        </w:rPr>
        <w:noBreakHyphen/>
        <w:t>six</w:t>
      </w:r>
      <w:r w:rsidRPr="00425762">
        <w:t>.</w:t>
      </w:r>
    </w:p>
    <w:p w14:paraId="548AC849" w14:textId="77777777" w:rsidR="00056244" w:rsidRDefault="00056244"/>
    <w:sectPr w:rsidR="000562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F28EC"/>
    <w:multiLevelType w:val="multilevel"/>
    <w:tmpl w:val="5CF45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887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62"/>
    <w:rsid w:val="00056244"/>
    <w:rsid w:val="00425762"/>
    <w:rsid w:val="00A43C21"/>
    <w:rsid w:val="00AE077D"/>
    <w:rsid w:val="00E03D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68C4"/>
  <w15:chartTrackingRefBased/>
  <w15:docId w15:val="{D7F2A0F3-90F8-428A-9AC4-76A755C0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5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5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57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57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57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576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576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576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576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57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57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57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57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57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57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57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57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5762"/>
    <w:rPr>
      <w:rFonts w:eastAsiaTheme="majorEastAsia" w:cstheme="majorBidi"/>
      <w:color w:val="272727" w:themeColor="text1" w:themeTint="D8"/>
    </w:rPr>
  </w:style>
  <w:style w:type="paragraph" w:styleId="Titre">
    <w:name w:val="Title"/>
    <w:basedOn w:val="Normal"/>
    <w:next w:val="Normal"/>
    <w:link w:val="TitreCar"/>
    <w:uiPriority w:val="10"/>
    <w:qFormat/>
    <w:rsid w:val="00425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57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57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57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5762"/>
    <w:pPr>
      <w:spacing w:before="160"/>
      <w:jc w:val="center"/>
    </w:pPr>
    <w:rPr>
      <w:i/>
      <w:iCs/>
      <w:color w:val="404040" w:themeColor="text1" w:themeTint="BF"/>
    </w:rPr>
  </w:style>
  <w:style w:type="character" w:customStyle="1" w:styleId="CitationCar">
    <w:name w:val="Citation Car"/>
    <w:basedOn w:val="Policepardfaut"/>
    <w:link w:val="Citation"/>
    <w:uiPriority w:val="29"/>
    <w:rsid w:val="00425762"/>
    <w:rPr>
      <w:i/>
      <w:iCs/>
      <w:color w:val="404040" w:themeColor="text1" w:themeTint="BF"/>
    </w:rPr>
  </w:style>
  <w:style w:type="paragraph" w:styleId="Paragraphedeliste">
    <w:name w:val="List Paragraph"/>
    <w:basedOn w:val="Normal"/>
    <w:uiPriority w:val="34"/>
    <w:qFormat/>
    <w:rsid w:val="00425762"/>
    <w:pPr>
      <w:ind w:left="720"/>
      <w:contextualSpacing/>
    </w:pPr>
  </w:style>
  <w:style w:type="character" w:styleId="Accentuationintense">
    <w:name w:val="Intense Emphasis"/>
    <w:basedOn w:val="Policepardfaut"/>
    <w:uiPriority w:val="21"/>
    <w:qFormat/>
    <w:rsid w:val="00425762"/>
    <w:rPr>
      <w:i/>
      <w:iCs/>
      <w:color w:val="0F4761" w:themeColor="accent1" w:themeShade="BF"/>
    </w:rPr>
  </w:style>
  <w:style w:type="paragraph" w:styleId="Citationintense">
    <w:name w:val="Intense Quote"/>
    <w:basedOn w:val="Normal"/>
    <w:next w:val="Normal"/>
    <w:link w:val="CitationintenseCar"/>
    <w:uiPriority w:val="30"/>
    <w:qFormat/>
    <w:rsid w:val="00425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5762"/>
    <w:rPr>
      <w:i/>
      <w:iCs/>
      <w:color w:val="0F4761" w:themeColor="accent1" w:themeShade="BF"/>
    </w:rPr>
  </w:style>
  <w:style w:type="character" w:styleId="Rfrenceintense">
    <w:name w:val="Intense Reference"/>
    <w:basedOn w:val="Policepardfaut"/>
    <w:uiPriority w:val="32"/>
    <w:qFormat/>
    <w:rsid w:val="00425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2717</Characters>
  <Application>Microsoft Office Word</Application>
  <DocSecurity>0</DocSecurity>
  <Lines>62</Lines>
  <Paragraphs>33</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PIPARD Florian</dc:creator>
  <cp:keywords/>
  <dc:description/>
  <cp:lastModifiedBy>PIPARD Florian</cp:lastModifiedBy>
  <cp:revision>2</cp:revision>
  <dcterms:created xsi:type="dcterms:W3CDTF">2026-04-01T05:44:00Z</dcterms:created>
  <dcterms:modified xsi:type="dcterms:W3CDTF">2026-04-01T05:45:00Z</dcterms:modified>
</cp:coreProperties>
</file>