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138" w:rsidRPr="003A4138" w:rsidRDefault="003A4138" w:rsidP="003A4138">
      <w:pPr>
        <w:spacing w:before="375" w:after="375" w:line="389" w:lineRule="atLeast"/>
        <w:outlineLvl w:val="0"/>
        <w:rPr>
          <w:rFonts w:ascii="Arial" w:eastAsia="Times New Roman" w:hAnsi="Arial" w:cs="Arial"/>
          <w:color w:val="000000"/>
          <w:kern w:val="36"/>
          <w:sz w:val="37"/>
          <w:szCs w:val="37"/>
          <w:lang w:eastAsia="fr-FR"/>
        </w:rPr>
      </w:pPr>
      <w:r w:rsidRPr="003A4138">
        <w:rPr>
          <w:rFonts w:ascii="Arial" w:eastAsia="Times New Roman" w:hAnsi="Arial" w:cs="Arial"/>
          <w:color w:val="000000"/>
          <w:kern w:val="36"/>
          <w:sz w:val="37"/>
          <w:szCs w:val="37"/>
          <w:lang w:eastAsia="fr-FR"/>
        </w:rPr>
        <w:t>Note explicative relative à l’arrêt n°558 du 3 avril 2019 (17-11.970) - Chambre sociale</w:t>
      </w:r>
    </w:p>
    <w:p w:rsidR="003A4138" w:rsidRPr="003A4138" w:rsidRDefault="003A4138" w:rsidP="003A4138">
      <w:pPr>
        <w:spacing w:before="100" w:beforeAutospacing="1" w:after="100" w:afterAutospacing="1" w:line="240" w:lineRule="auto"/>
        <w:ind w:left="300"/>
        <w:jc w:val="both"/>
        <w:rPr>
          <w:rFonts w:ascii="Arial" w:eastAsia="Times New Roman" w:hAnsi="Arial" w:cs="Arial"/>
          <w:color w:val="000000"/>
          <w:sz w:val="20"/>
          <w:szCs w:val="20"/>
          <w:lang w:eastAsia="fr-FR"/>
        </w:rPr>
      </w:pPr>
    </w:p>
    <w:p w:rsidR="003A4138" w:rsidRPr="003A4138" w:rsidRDefault="003A4138" w:rsidP="003A4138">
      <w:pPr>
        <w:spacing w:before="150" w:after="150" w:line="240" w:lineRule="auto"/>
        <w:rPr>
          <w:rFonts w:ascii="Times New Roman" w:eastAsia="Times New Roman" w:hAnsi="Times New Roman" w:cs="Times New Roman"/>
          <w:sz w:val="24"/>
          <w:szCs w:val="24"/>
          <w:lang w:eastAsia="fr-FR"/>
        </w:rPr>
      </w:pPr>
      <w:bookmarkStart w:id="0" w:name="_GoBack"/>
      <w:r w:rsidRPr="003A4138">
        <w:rPr>
          <w:rFonts w:ascii="Times New Roman" w:eastAsia="Times New Roman" w:hAnsi="Times New Roman" w:cs="Times New Roman"/>
          <w:sz w:val="24"/>
          <w:szCs w:val="24"/>
          <w:lang w:eastAsia="fr-FR"/>
        </w:rPr>
        <w:pict>
          <v:rect id="_x0000_i1025" style="width:0;height:0" o:hrstd="t" o:hrnoshade="t" o:hr="t" fillcolor="black" stroked="f"/>
        </w:pict>
      </w:r>
      <w:bookmarkEnd w:id="0"/>
      <w:r w:rsidRPr="003A4138">
        <w:rPr>
          <w:rFonts w:ascii="Arial" w:eastAsia="Times New Roman" w:hAnsi="Arial" w:cs="Arial"/>
          <w:color w:val="000000"/>
          <w:sz w:val="20"/>
          <w:szCs w:val="20"/>
          <w:lang w:eastAsia="fr-FR"/>
        </w:rPr>
        <w:t>Par le présent arrêt rédigé en forme développée, la chambre sociale de la Cour de cassation s’est prononcée sur le moyen tendant à la reconnaissance d’une présomption générale de justification des différences de traitement opérées par voie d’accord collectif.</w:t>
      </w:r>
    </w:p>
    <w:p w:rsidR="003A4138" w:rsidRPr="003A4138" w:rsidRDefault="003A4138" w:rsidP="003A4138">
      <w:pPr>
        <w:spacing w:after="225" w:line="322" w:lineRule="atLeast"/>
        <w:jc w:val="both"/>
        <w:rPr>
          <w:rFonts w:ascii="Arial" w:eastAsia="Times New Roman" w:hAnsi="Arial" w:cs="Arial"/>
          <w:color w:val="000000"/>
          <w:sz w:val="20"/>
          <w:szCs w:val="20"/>
          <w:lang w:eastAsia="fr-FR"/>
        </w:rPr>
      </w:pPr>
      <w:r w:rsidRPr="003A4138">
        <w:rPr>
          <w:rFonts w:ascii="Arial" w:eastAsia="Times New Roman" w:hAnsi="Arial" w:cs="Arial"/>
          <w:color w:val="000000"/>
          <w:sz w:val="20"/>
          <w:szCs w:val="20"/>
          <w:lang w:eastAsia="fr-FR"/>
        </w:rPr>
        <w:t> Il résulte d’une jurisprudence établie que les accords collectifs sont soumis au principe d’égalité de traitement en sorte que la Cour a jugé que les différences de traitement que ceux-ci instaurent entre les salariés placés dans une situation identique au regard de l’avantage considéré doivent reposer sur des raisons objectives dont le juge doit contrôler concrètement la réalité et la pertinence (Soc., 1 juillet 2009, pourvoi n° 07-42.675, </w:t>
      </w:r>
      <w:r w:rsidRPr="003A4138">
        <w:rPr>
          <w:rFonts w:ascii="Arial" w:eastAsia="Times New Roman" w:hAnsi="Arial" w:cs="Arial"/>
          <w:i/>
          <w:iCs/>
          <w:color w:val="000000"/>
          <w:sz w:val="20"/>
          <w:szCs w:val="20"/>
          <w:lang w:eastAsia="fr-FR"/>
        </w:rPr>
        <w:t>Bull. 2009</w:t>
      </w:r>
      <w:r w:rsidRPr="003A4138">
        <w:rPr>
          <w:rFonts w:ascii="Arial" w:eastAsia="Times New Roman" w:hAnsi="Arial" w:cs="Arial"/>
          <w:color w:val="000000"/>
          <w:sz w:val="20"/>
          <w:szCs w:val="20"/>
          <w:lang w:eastAsia="fr-FR"/>
        </w:rPr>
        <w:t>, V, n° 168).</w:t>
      </w:r>
    </w:p>
    <w:p w:rsidR="003A4138" w:rsidRPr="003A4138" w:rsidRDefault="003A4138" w:rsidP="003A4138">
      <w:pPr>
        <w:spacing w:after="225" w:line="322" w:lineRule="atLeast"/>
        <w:jc w:val="both"/>
        <w:rPr>
          <w:rFonts w:ascii="Arial" w:eastAsia="Times New Roman" w:hAnsi="Arial" w:cs="Arial"/>
          <w:color w:val="000000"/>
          <w:sz w:val="20"/>
          <w:szCs w:val="20"/>
          <w:lang w:eastAsia="fr-FR"/>
        </w:rPr>
      </w:pPr>
      <w:r w:rsidRPr="003A4138">
        <w:rPr>
          <w:rFonts w:ascii="Arial" w:eastAsia="Times New Roman" w:hAnsi="Arial" w:cs="Arial"/>
          <w:color w:val="000000"/>
          <w:sz w:val="20"/>
          <w:szCs w:val="20"/>
          <w:lang w:eastAsia="fr-FR"/>
        </w:rPr>
        <w:t> Cependant, dans la mesure où elles sont opérées par voie de conventions ou d’accords collectifs, négociés et signés par des organisations syndicales représentatives, investies de la défense des droits et intérêts des salariés et à l’habilitation desquelles ces derniers participent directement par leur vote, la Cour a été conduite à reconnaître que certaines catégories de différences de traitement sont présumées justifiées de sorte qu’il appartient à celui qui les conteste de démontrer qu’elles sont étrangères à toute considération de nature professionnelle.</w:t>
      </w:r>
    </w:p>
    <w:p w:rsidR="003A4138" w:rsidRPr="003A4138" w:rsidRDefault="003A4138" w:rsidP="003A4138">
      <w:pPr>
        <w:spacing w:after="225" w:line="322" w:lineRule="atLeast"/>
        <w:jc w:val="both"/>
        <w:rPr>
          <w:rFonts w:ascii="Arial" w:eastAsia="Times New Roman" w:hAnsi="Arial" w:cs="Arial"/>
          <w:color w:val="000000"/>
          <w:sz w:val="20"/>
          <w:szCs w:val="20"/>
          <w:lang w:eastAsia="fr-FR"/>
        </w:rPr>
      </w:pPr>
      <w:r w:rsidRPr="003A4138">
        <w:rPr>
          <w:rFonts w:ascii="Arial" w:eastAsia="Times New Roman" w:hAnsi="Arial" w:cs="Arial"/>
          <w:color w:val="000000"/>
          <w:sz w:val="20"/>
          <w:szCs w:val="20"/>
          <w:lang w:eastAsia="fr-FR"/>
        </w:rPr>
        <w:t xml:space="preserve"> Or, la reconnaissance d’une présomption générale de justification de toutes différences de traitement entre les salariés opérées par voie de conventions ou d’accords collectifs serait, dans les domaines où est mis en </w:t>
      </w:r>
      <w:proofErr w:type="spellStart"/>
      <w:r w:rsidRPr="003A4138">
        <w:rPr>
          <w:rFonts w:ascii="Arial" w:eastAsia="Times New Roman" w:hAnsi="Arial" w:cs="Arial"/>
          <w:color w:val="000000"/>
          <w:sz w:val="20"/>
          <w:szCs w:val="20"/>
          <w:lang w:eastAsia="fr-FR"/>
        </w:rPr>
        <w:t>oeuvre</w:t>
      </w:r>
      <w:proofErr w:type="spellEnd"/>
      <w:r w:rsidRPr="003A4138">
        <w:rPr>
          <w:rFonts w:ascii="Arial" w:eastAsia="Times New Roman" w:hAnsi="Arial" w:cs="Arial"/>
          <w:color w:val="000000"/>
          <w:sz w:val="20"/>
          <w:szCs w:val="20"/>
          <w:lang w:eastAsia="fr-FR"/>
        </w:rPr>
        <w:t xml:space="preserve"> le droit de l’Union, contraire à celui-ci en ce qu’elle ferait reposer sur le seul salarié la charge de la preuve de l’atteinte au principe d’égalité et en ce qu’il résulte d’une jurisprudence ancienne et constante de la Cour de justice de l’Union européenne (CJUE, arrêts du 8 avril 1976, </w:t>
      </w:r>
      <w:proofErr w:type="spellStart"/>
      <w:r w:rsidRPr="003A4138">
        <w:rPr>
          <w:rFonts w:ascii="Arial" w:eastAsia="Times New Roman" w:hAnsi="Arial" w:cs="Arial"/>
          <w:color w:val="000000"/>
          <w:sz w:val="20"/>
          <w:szCs w:val="20"/>
          <w:lang w:eastAsia="fr-FR"/>
        </w:rPr>
        <w:t>Defrenne</w:t>
      </w:r>
      <w:proofErr w:type="spellEnd"/>
      <w:r w:rsidRPr="003A4138">
        <w:rPr>
          <w:rFonts w:ascii="Arial" w:eastAsia="Times New Roman" w:hAnsi="Arial" w:cs="Arial"/>
          <w:color w:val="000000"/>
          <w:sz w:val="20"/>
          <w:szCs w:val="20"/>
          <w:lang w:eastAsia="fr-FR"/>
        </w:rPr>
        <w:t xml:space="preserve">, 43-75, point 39, du 13 septembre 2007, Del Cerro Alonso, C-307/05, points 57 et 58, du 17 avril 2018, </w:t>
      </w:r>
      <w:proofErr w:type="spellStart"/>
      <w:r w:rsidRPr="003A4138">
        <w:rPr>
          <w:rFonts w:ascii="Arial" w:eastAsia="Times New Roman" w:hAnsi="Arial" w:cs="Arial"/>
          <w:color w:val="000000"/>
          <w:sz w:val="20"/>
          <w:szCs w:val="20"/>
          <w:lang w:eastAsia="fr-FR"/>
        </w:rPr>
        <w:t>Egenberger</w:t>
      </w:r>
      <w:proofErr w:type="spellEnd"/>
      <w:r w:rsidRPr="003A4138">
        <w:rPr>
          <w:rFonts w:ascii="Arial" w:eastAsia="Times New Roman" w:hAnsi="Arial" w:cs="Arial"/>
          <w:color w:val="000000"/>
          <w:sz w:val="20"/>
          <w:szCs w:val="20"/>
          <w:lang w:eastAsia="fr-FR"/>
        </w:rPr>
        <w:t>, C-414/16, point 77) qu’un accord collectif n’est pas en soi de nature à justifier une différence de traitement. D’autre part, dans ces domaines, une telle présomption se trouverait privée d’effet dans la mesure où les règles de preuve propres au droit de l’Union viendraient à s’appliquer.</w:t>
      </w:r>
    </w:p>
    <w:p w:rsidR="003A4138" w:rsidRPr="003A4138" w:rsidRDefault="003A4138" w:rsidP="003A4138">
      <w:pPr>
        <w:spacing w:after="225" w:line="322" w:lineRule="atLeast"/>
        <w:jc w:val="both"/>
        <w:rPr>
          <w:rFonts w:ascii="Arial" w:eastAsia="Times New Roman" w:hAnsi="Arial" w:cs="Arial"/>
          <w:color w:val="000000"/>
          <w:sz w:val="20"/>
          <w:szCs w:val="20"/>
          <w:lang w:eastAsia="fr-FR"/>
        </w:rPr>
      </w:pPr>
      <w:r w:rsidRPr="003A4138">
        <w:rPr>
          <w:rFonts w:ascii="Arial" w:eastAsia="Times New Roman" w:hAnsi="Arial" w:cs="Arial"/>
          <w:color w:val="000000"/>
          <w:sz w:val="20"/>
          <w:szCs w:val="20"/>
          <w:lang w:eastAsia="fr-FR"/>
        </w:rPr>
        <w:t> C’est pourquoi, la chambre sociale a écarté une telle reconnaissance. </w:t>
      </w:r>
    </w:p>
    <w:p w:rsidR="003A4138" w:rsidRPr="003A4138" w:rsidRDefault="003A4138" w:rsidP="003A4138">
      <w:pPr>
        <w:spacing w:after="225" w:line="322" w:lineRule="atLeast"/>
        <w:jc w:val="both"/>
        <w:rPr>
          <w:rFonts w:ascii="Arial" w:eastAsia="Times New Roman" w:hAnsi="Arial" w:cs="Arial"/>
          <w:color w:val="000000"/>
          <w:sz w:val="20"/>
          <w:szCs w:val="20"/>
          <w:lang w:eastAsia="fr-FR"/>
        </w:rPr>
      </w:pPr>
      <w:r w:rsidRPr="003A4138">
        <w:rPr>
          <w:rFonts w:ascii="Arial" w:eastAsia="Times New Roman" w:hAnsi="Arial" w:cs="Arial"/>
          <w:color w:val="000000"/>
          <w:sz w:val="20"/>
          <w:szCs w:val="20"/>
          <w:lang w:eastAsia="fr-FR"/>
        </w:rPr>
        <w:t> En définitive, sont présumées justifiées, de sorte qu’il appartient à celui qui les conteste de démontrer qu’elles sont étrangères à toute considération de nature professionnelle, les différences de traitement :</w:t>
      </w:r>
    </w:p>
    <w:p w:rsidR="003A4138" w:rsidRPr="003A4138" w:rsidRDefault="003A4138" w:rsidP="003A4138">
      <w:pPr>
        <w:numPr>
          <w:ilvl w:val="0"/>
          <w:numId w:val="2"/>
        </w:numPr>
        <w:spacing w:before="100" w:beforeAutospacing="1" w:after="100" w:afterAutospacing="1" w:line="240" w:lineRule="auto"/>
        <w:ind w:left="300"/>
        <w:jc w:val="both"/>
        <w:rPr>
          <w:rFonts w:ascii="Arial" w:eastAsia="Times New Roman" w:hAnsi="Arial" w:cs="Arial"/>
          <w:color w:val="000000"/>
          <w:sz w:val="20"/>
          <w:szCs w:val="20"/>
          <w:lang w:eastAsia="fr-FR"/>
        </w:rPr>
      </w:pPr>
      <w:proofErr w:type="gramStart"/>
      <w:r w:rsidRPr="003A4138">
        <w:rPr>
          <w:rFonts w:ascii="Arial" w:eastAsia="Times New Roman" w:hAnsi="Arial" w:cs="Arial"/>
          <w:color w:val="000000"/>
          <w:sz w:val="20"/>
          <w:szCs w:val="20"/>
          <w:lang w:eastAsia="fr-FR"/>
        </w:rPr>
        <w:t>entre</w:t>
      </w:r>
      <w:proofErr w:type="gramEnd"/>
      <w:r w:rsidRPr="003A4138">
        <w:rPr>
          <w:rFonts w:ascii="Arial" w:eastAsia="Times New Roman" w:hAnsi="Arial" w:cs="Arial"/>
          <w:color w:val="000000"/>
          <w:sz w:val="20"/>
          <w:szCs w:val="20"/>
          <w:lang w:eastAsia="fr-FR"/>
        </w:rPr>
        <w:t xml:space="preserve"> catégories professionnelles, opérées par voie de convention ou d’accord collectif (Soc., 27 janvier 2015, pourvoi n° 13-14.773, 13-14.908, </w:t>
      </w:r>
      <w:r w:rsidRPr="003A4138">
        <w:rPr>
          <w:rFonts w:ascii="Arial" w:eastAsia="Times New Roman" w:hAnsi="Arial" w:cs="Arial"/>
          <w:i/>
          <w:iCs/>
          <w:color w:val="000000"/>
          <w:sz w:val="20"/>
          <w:szCs w:val="20"/>
          <w:lang w:eastAsia="fr-FR"/>
        </w:rPr>
        <w:t>Bull. 2015</w:t>
      </w:r>
      <w:r w:rsidRPr="003A4138">
        <w:rPr>
          <w:rFonts w:ascii="Arial" w:eastAsia="Times New Roman" w:hAnsi="Arial" w:cs="Arial"/>
          <w:color w:val="000000"/>
          <w:sz w:val="20"/>
          <w:szCs w:val="20"/>
          <w:lang w:eastAsia="fr-FR"/>
        </w:rPr>
        <w:t>, V, n° 8, Soc., 27 janvier 2015, pourvoi n° 13-22.179, </w:t>
      </w:r>
      <w:r w:rsidRPr="003A4138">
        <w:rPr>
          <w:rFonts w:ascii="Arial" w:eastAsia="Times New Roman" w:hAnsi="Arial" w:cs="Arial"/>
          <w:i/>
          <w:iCs/>
          <w:color w:val="000000"/>
          <w:sz w:val="20"/>
          <w:szCs w:val="20"/>
          <w:lang w:eastAsia="fr-FR"/>
        </w:rPr>
        <w:t>Bull. 2015</w:t>
      </w:r>
      <w:r w:rsidRPr="003A4138">
        <w:rPr>
          <w:rFonts w:ascii="Arial" w:eastAsia="Times New Roman" w:hAnsi="Arial" w:cs="Arial"/>
          <w:color w:val="000000"/>
          <w:sz w:val="20"/>
          <w:szCs w:val="20"/>
          <w:lang w:eastAsia="fr-FR"/>
        </w:rPr>
        <w:t>, V, n° 9 et Soc., 27 janvier 2015, pourvoi n° 13-25.437, </w:t>
      </w:r>
      <w:r w:rsidRPr="003A4138">
        <w:rPr>
          <w:rFonts w:ascii="Arial" w:eastAsia="Times New Roman" w:hAnsi="Arial" w:cs="Arial"/>
          <w:i/>
          <w:iCs/>
          <w:color w:val="000000"/>
          <w:sz w:val="20"/>
          <w:szCs w:val="20"/>
          <w:lang w:eastAsia="fr-FR"/>
        </w:rPr>
        <w:t>Bull. 2015</w:t>
      </w:r>
      <w:r w:rsidRPr="003A4138">
        <w:rPr>
          <w:rFonts w:ascii="Arial" w:eastAsia="Times New Roman" w:hAnsi="Arial" w:cs="Arial"/>
          <w:color w:val="000000"/>
          <w:sz w:val="20"/>
          <w:szCs w:val="20"/>
          <w:lang w:eastAsia="fr-FR"/>
        </w:rPr>
        <w:t>, V, n° 10)</w:t>
      </w:r>
    </w:p>
    <w:p w:rsidR="003A4138" w:rsidRPr="003A4138" w:rsidRDefault="003A4138" w:rsidP="003A4138">
      <w:pPr>
        <w:numPr>
          <w:ilvl w:val="0"/>
          <w:numId w:val="2"/>
        </w:numPr>
        <w:spacing w:before="100" w:beforeAutospacing="1" w:after="100" w:afterAutospacing="1" w:line="240" w:lineRule="auto"/>
        <w:ind w:left="300"/>
        <w:jc w:val="both"/>
        <w:rPr>
          <w:rFonts w:ascii="Arial" w:eastAsia="Times New Roman" w:hAnsi="Arial" w:cs="Arial"/>
          <w:color w:val="000000"/>
          <w:sz w:val="20"/>
          <w:szCs w:val="20"/>
          <w:lang w:eastAsia="fr-FR"/>
        </w:rPr>
      </w:pPr>
      <w:proofErr w:type="gramStart"/>
      <w:r w:rsidRPr="003A4138">
        <w:rPr>
          <w:rFonts w:ascii="Arial" w:eastAsia="Times New Roman" w:hAnsi="Arial" w:cs="Arial"/>
          <w:color w:val="000000"/>
          <w:sz w:val="20"/>
          <w:szCs w:val="20"/>
          <w:lang w:eastAsia="fr-FR"/>
        </w:rPr>
        <w:t>entre</w:t>
      </w:r>
      <w:proofErr w:type="gramEnd"/>
      <w:r w:rsidRPr="003A4138">
        <w:rPr>
          <w:rFonts w:ascii="Arial" w:eastAsia="Times New Roman" w:hAnsi="Arial" w:cs="Arial"/>
          <w:color w:val="000000"/>
          <w:sz w:val="20"/>
          <w:szCs w:val="20"/>
          <w:lang w:eastAsia="fr-FR"/>
        </w:rPr>
        <w:t xml:space="preserve"> salariés exerçant, au sein d’une même catégorie professionnelle, des fonctions distinctes, opérées par voie de convention ou d’accord collectif (Soc., 8 juin 2016, pourvois n° 15-11.324, </w:t>
      </w:r>
      <w:r w:rsidRPr="003A4138">
        <w:rPr>
          <w:rFonts w:ascii="Arial" w:eastAsia="Times New Roman" w:hAnsi="Arial" w:cs="Arial"/>
          <w:i/>
          <w:iCs/>
          <w:color w:val="000000"/>
          <w:sz w:val="20"/>
          <w:szCs w:val="20"/>
          <w:lang w:eastAsia="fr-FR"/>
        </w:rPr>
        <w:t>Bull. 2016</w:t>
      </w:r>
      <w:r w:rsidRPr="003A4138">
        <w:rPr>
          <w:rFonts w:ascii="Arial" w:eastAsia="Times New Roman" w:hAnsi="Arial" w:cs="Arial"/>
          <w:color w:val="000000"/>
          <w:sz w:val="20"/>
          <w:szCs w:val="20"/>
          <w:lang w:eastAsia="fr-FR"/>
        </w:rPr>
        <w:t>, V, n° 130),</w:t>
      </w:r>
    </w:p>
    <w:p w:rsidR="003A4138" w:rsidRPr="003A4138" w:rsidRDefault="003A4138" w:rsidP="003A4138">
      <w:pPr>
        <w:numPr>
          <w:ilvl w:val="0"/>
          <w:numId w:val="2"/>
        </w:numPr>
        <w:spacing w:before="100" w:beforeAutospacing="1" w:after="100" w:afterAutospacing="1" w:line="240" w:lineRule="auto"/>
        <w:ind w:left="300"/>
        <w:jc w:val="both"/>
        <w:rPr>
          <w:rFonts w:ascii="Arial" w:eastAsia="Times New Roman" w:hAnsi="Arial" w:cs="Arial"/>
          <w:color w:val="000000"/>
          <w:sz w:val="20"/>
          <w:szCs w:val="20"/>
          <w:lang w:eastAsia="fr-FR"/>
        </w:rPr>
      </w:pPr>
      <w:proofErr w:type="gramStart"/>
      <w:r w:rsidRPr="003A4138">
        <w:rPr>
          <w:rFonts w:ascii="Arial" w:eastAsia="Times New Roman" w:hAnsi="Arial" w:cs="Arial"/>
          <w:color w:val="000000"/>
          <w:sz w:val="20"/>
          <w:szCs w:val="20"/>
          <w:lang w:eastAsia="fr-FR"/>
        </w:rPr>
        <w:t>entre</w:t>
      </w:r>
      <w:proofErr w:type="gramEnd"/>
      <w:r w:rsidRPr="003A4138">
        <w:rPr>
          <w:rFonts w:ascii="Arial" w:eastAsia="Times New Roman" w:hAnsi="Arial" w:cs="Arial"/>
          <w:color w:val="000000"/>
          <w:sz w:val="20"/>
          <w:szCs w:val="20"/>
          <w:lang w:eastAsia="fr-FR"/>
        </w:rPr>
        <w:t xml:space="preserve"> salariés appartenant à la même entreprise mais à des établissements distincts, opérées par voie d’accord d’établissement (Soc., 3 novembre 2016, pourvoi n° 15-18.444, </w:t>
      </w:r>
      <w:r w:rsidRPr="003A4138">
        <w:rPr>
          <w:rFonts w:ascii="Arial" w:eastAsia="Times New Roman" w:hAnsi="Arial" w:cs="Arial"/>
          <w:i/>
          <w:iCs/>
          <w:color w:val="000000"/>
          <w:sz w:val="20"/>
          <w:szCs w:val="20"/>
          <w:lang w:eastAsia="fr-FR"/>
        </w:rPr>
        <w:t>Bull. 2016</w:t>
      </w:r>
      <w:r w:rsidRPr="003A4138">
        <w:rPr>
          <w:rFonts w:ascii="Arial" w:eastAsia="Times New Roman" w:hAnsi="Arial" w:cs="Arial"/>
          <w:color w:val="000000"/>
          <w:sz w:val="20"/>
          <w:szCs w:val="20"/>
          <w:lang w:eastAsia="fr-FR"/>
        </w:rPr>
        <w:t>, V, n° 206),</w:t>
      </w:r>
    </w:p>
    <w:p w:rsidR="003A4138" w:rsidRPr="003A4138" w:rsidRDefault="003A4138" w:rsidP="003A4138">
      <w:pPr>
        <w:numPr>
          <w:ilvl w:val="0"/>
          <w:numId w:val="2"/>
        </w:numPr>
        <w:spacing w:before="100" w:beforeAutospacing="1" w:after="100" w:afterAutospacing="1" w:line="240" w:lineRule="auto"/>
        <w:ind w:left="300"/>
        <w:jc w:val="both"/>
        <w:rPr>
          <w:rFonts w:ascii="Arial" w:eastAsia="Times New Roman" w:hAnsi="Arial" w:cs="Arial"/>
          <w:color w:val="000000"/>
          <w:sz w:val="20"/>
          <w:szCs w:val="20"/>
          <w:lang w:eastAsia="fr-FR"/>
        </w:rPr>
      </w:pPr>
      <w:proofErr w:type="gramStart"/>
      <w:r w:rsidRPr="003A4138">
        <w:rPr>
          <w:rFonts w:ascii="Arial" w:eastAsia="Times New Roman" w:hAnsi="Arial" w:cs="Arial"/>
          <w:color w:val="000000"/>
          <w:sz w:val="20"/>
          <w:szCs w:val="20"/>
          <w:lang w:eastAsia="fr-FR"/>
        </w:rPr>
        <w:lastRenderedPageBreak/>
        <w:t>entre</w:t>
      </w:r>
      <w:proofErr w:type="gramEnd"/>
      <w:r w:rsidRPr="003A4138">
        <w:rPr>
          <w:rFonts w:ascii="Arial" w:eastAsia="Times New Roman" w:hAnsi="Arial" w:cs="Arial"/>
          <w:color w:val="000000"/>
          <w:sz w:val="20"/>
          <w:szCs w:val="20"/>
          <w:lang w:eastAsia="fr-FR"/>
        </w:rPr>
        <w:t xml:space="preserve"> salariés appartenant à la même entreprise mais à des établissements distincts, opérées par voie d’accord d’entreprise (Soc., 4 octobre 2017, pourvoi n° 16-17.517, </w:t>
      </w:r>
      <w:r w:rsidRPr="003A4138">
        <w:rPr>
          <w:rFonts w:ascii="Arial" w:eastAsia="Times New Roman" w:hAnsi="Arial" w:cs="Arial"/>
          <w:i/>
          <w:iCs/>
          <w:color w:val="000000"/>
          <w:sz w:val="20"/>
          <w:szCs w:val="20"/>
          <w:lang w:eastAsia="fr-FR"/>
        </w:rPr>
        <w:t>Bull. 2017</w:t>
      </w:r>
      <w:r w:rsidRPr="003A4138">
        <w:rPr>
          <w:rFonts w:ascii="Arial" w:eastAsia="Times New Roman" w:hAnsi="Arial" w:cs="Arial"/>
          <w:color w:val="000000"/>
          <w:sz w:val="20"/>
          <w:szCs w:val="20"/>
          <w:lang w:eastAsia="fr-FR"/>
        </w:rPr>
        <w:t>, V, n° 170),</w:t>
      </w:r>
    </w:p>
    <w:p w:rsidR="003A4138" w:rsidRPr="003A4138" w:rsidRDefault="003A4138" w:rsidP="003A4138">
      <w:pPr>
        <w:numPr>
          <w:ilvl w:val="0"/>
          <w:numId w:val="2"/>
        </w:numPr>
        <w:spacing w:before="100" w:beforeAutospacing="1" w:after="100" w:afterAutospacing="1" w:line="240" w:lineRule="auto"/>
        <w:ind w:left="300"/>
        <w:jc w:val="both"/>
        <w:rPr>
          <w:rFonts w:ascii="Arial" w:eastAsia="Times New Roman" w:hAnsi="Arial" w:cs="Arial"/>
          <w:color w:val="000000"/>
          <w:sz w:val="20"/>
          <w:szCs w:val="20"/>
          <w:lang w:eastAsia="fr-FR"/>
        </w:rPr>
      </w:pPr>
      <w:proofErr w:type="gramStart"/>
      <w:r w:rsidRPr="003A4138">
        <w:rPr>
          <w:rFonts w:ascii="Arial" w:eastAsia="Times New Roman" w:hAnsi="Arial" w:cs="Arial"/>
          <w:color w:val="000000"/>
          <w:sz w:val="20"/>
          <w:szCs w:val="20"/>
          <w:lang w:eastAsia="fr-FR"/>
        </w:rPr>
        <w:t>entre</w:t>
      </w:r>
      <w:proofErr w:type="gramEnd"/>
      <w:r w:rsidRPr="003A4138">
        <w:rPr>
          <w:rFonts w:ascii="Arial" w:eastAsia="Times New Roman" w:hAnsi="Arial" w:cs="Arial"/>
          <w:color w:val="000000"/>
          <w:sz w:val="20"/>
          <w:szCs w:val="20"/>
          <w:lang w:eastAsia="fr-FR"/>
        </w:rPr>
        <w:t xml:space="preserve"> salariés appartenant à la même entreprise de nettoyage mais affectés à des sites ou des établissements distincts, opérées par voie d’accord collectif (Soc., 30 mai 2018, pourvoi n° 17-12.925, en cours de publication).</w:t>
      </w:r>
    </w:p>
    <w:p w:rsidR="003A4138" w:rsidRPr="003A4138" w:rsidRDefault="003A4138" w:rsidP="003A4138">
      <w:pPr>
        <w:spacing w:after="225" w:line="322" w:lineRule="atLeast"/>
        <w:jc w:val="both"/>
        <w:rPr>
          <w:rFonts w:ascii="Arial" w:eastAsia="Times New Roman" w:hAnsi="Arial" w:cs="Arial"/>
          <w:color w:val="000000"/>
          <w:sz w:val="20"/>
          <w:szCs w:val="20"/>
          <w:lang w:eastAsia="fr-FR"/>
        </w:rPr>
      </w:pPr>
      <w:r w:rsidRPr="003A4138">
        <w:rPr>
          <w:rFonts w:ascii="Arial" w:eastAsia="Times New Roman" w:hAnsi="Arial" w:cs="Arial"/>
          <w:color w:val="000000"/>
          <w:sz w:val="20"/>
          <w:szCs w:val="20"/>
          <w:lang w:eastAsia="fr-FR"/>
        </w:rPr>
        <w:br/>
        <w:t> En présence d’autres différences de traitement, établies par le salarié, il appartient à l’employeur de justifier de raisons objectives dont le juge contrôle concrètement la réalité et la pertinence</w:t>
      </w:r>
    </w:p>
    <w:p w:rsidR="009A7263" w:rsidRDefault="009A7263"/>
    <w:sectPr w:rsidR="009A72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672"/>
    <w:multiLevelType w:val="multilevel"/>
    <w:tmpl w:val="F7B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62EAB"/>
    <w:multiLevelType w:val="multilevel"/>
    <w:tmpl w:val="0BF8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38"/>
    <w:rsid w:val="003A4138"/>
    <w:rsid w:val="009A7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5390A6B"/>
  <w15:chartTrackingRefBased/>
  <w15:docId w15:val="{F98010F3-209E-46F6-90F1-9F92CA93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3328</Characters>
  <Application>Microsoft Office Word</Application>
  <DocSecurity>0</DocSecurity>
  <Lines>27</Lines>
  <Paragraphs>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Note explicative relative à l’arrêt n 558 du 3 avril 2019 (17-11.970) - Chambre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DURLACH Emilie</dc:creator>
  <cp:keywords/>
  <dc:description/>
  <cp:lastModifiedBy>DURLACH Emilie</cp:lastModifiedBy>
  <cp:revision>1</cp:revision>
  <dcterms:created xsi:type="dcterms:W3CDTF">2019-04-09T15:31:00Z</dcterms:created>
  <dcterms:modified xsi:type="dcterms:W3CDTF">2019-04-09T15:32:00Z</dcterms:modified>
</cp:coreProperties>
</file>