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8D9" w:rsidRPr="00C618D9" w:rsidRDefault="00C618D9" w:rsidP="00C618D9">
      <w:pPr>
        <w:spacing w:before="375" w:after="375" w:line="389" w:lineRule="atLeast"/>
        <w:outlineLvl w:val="0"/>
        <w:rPr>
          <w:rFonts w:ascii="Times New Roman" w:eastAsia="Times New Roman" w:hAnsi="Times New Roman" w:cs="Times New Roman"/>
          <w:sz w:val="24"/>
          <w:szCs w:val="24"/>
          <w:lang w:eastAsia="fr-FR"/>
        </w:rPr>
      </w:pPr>
      <w:r w:rsidRPr="00C618D9">
        <w:rPr>
          <w:rFonts w:ascii="Arial" w:eastAsia="Times New Roman" w:hAnsi="Arial" w:cs="Arial"/>
          <w:color w:val="000000"/>
          <w:kern w:val="36"/>
          <w:sz w:val="37"/>
          <w:szCs w:val="37"/>
          <w:lang w:eastAsia="fr-FR"/>
        </w:rPr>
        <w:t xml:space="preserve">Arrêt n° 646 du 3 mai 2018 (16-26.306) - Cour de cassation - Chambre sociale - </w:t>
      </w:r>
      <w:bookmarkStart w:id="0" w:name="_GoBack"/>
      <w:bookmarkEnd w:id="0"/>
    </w:p>
    <w:p w:rsidR="00C618D9" w:rsidRPr="00C618D9" w:rsidRDefault="00C618D9" w:rsidP="00C618D9">
      <w:pPr>
        <w:spacing w:before="225" w:after="225" w:line="240" w:lineRule="auto"/>
        <w:outlineLvl w:val="2"/>
        <w:rPr>
          <w:rFonts w:ascii="Arial" w:eastAsia="Times New Roman" w:hAnsi="Arial" w:cs="Arial"/>
          <w:color w:val="000000"/>
          <w:sz w:val="27"/>
          <w:szCs w:val="27"/>
          <w:lang w:eastAsia="fr-FR"/>
        </w:rPr>
      </w:pPr>
      <w:r w:rsidRPr="00C618D9">
        <w:rPr>
          <w:rFonts w:ascii="Arial" w:eastAsia="Times New Roman" w:hAnsi="Arial" w:cs="Arial"/>
          <w:color w:val="000000"/>
          <w:sz w:val="27"/>
          <w:szCs w:val="27"/>
          <w:lang w:eastAsia="fr-FR"/>
        </w:rPr>
        <w:t>Cassation partielle</w:t>
      </w:r>
    </w:p>
    <w:p w:rsidR="00C618D9" w:rsidRPr="00C618D9" w:rsidRDefault="00C618D9" w:rsidP="00C618D9">
      <w:pPr>
        <w:spacing w:before="150" w:after="150" w:line="240" w:lineRule="auto"/>
        <w:rPr>
          <w:rFonts w:ascii="Times New Roman" w:eastAsia="Times New Roman" w:hAnsi="Times New Roman" w:cs="Times New Roman"/>
          <w:sz w:val="24"/>
          <w:szCs w:val="24"/>
          <w:lang w:eastAsia="fr-FR"/>
        </w:rPr>
      </w:pPr>
      <w:r w:rsidRPr="00C618D9">
        <w:rPr>
          <w:rFonts w:ascii="Times New Roman" w:eastAsia="Times New Roman" w:hAnsi="Times New Roman" w:cs="Times New Roman"/>
          <w:sz w:val="24"/>
          <w:szCs w:val="24"/>
          <w:lang w:eastAsia="fr-FR"/>
        </w:rPr>
        <w:pict>
          <v:rect id="_x0000_i1025" style="width:0;height:0" o:hrstd="t" o:hrnoshade="t" o:hr="t" fillcolor="black" stroked="f"/>
        </w:pict>
      </w:r>
    </w:p>
    <w:p w:rsidR="00C618D9" w:rsidRPr="00C618D9" w:rsidRDefault="00C618D9" w:rsidP="00C618D9">
      <w:pPr>
        <w:spacing w:after="225" w:line="322" w:lineRule="atLeast"/>
        <w:ind w:left="600"/>
        <w:jc w:val="both"/>
        <w:rPr>
          <w:rFonts w:ascii="Arial" w:eastAsia="Times New Roman" w:hAnsi="Arial" w:cs="Arial"/>
          <w:color w:val="000000"/>
          <w:sz w:val="20"/>
          <w:szCs w:val="20"/>
          <w:lang w:eastAsia="fr-FR"/>
        </w:rPr>
      </w:pPr>
      <w:r w:rsidRPr="00C618D9">
        <w:rPr>
          <w:rFonts w:ascii="Arial" w:eastAsia="Times New Roman" w:hAnsi="Arial" w:cs="Arial"/>
          <w:b/>
          <w:bCs/>
          <w:color w:val="C50024"/>
          <w:sz w:val="20"/>
          <w:szCs w:val="20"/>
          <w:lang w:eastAsia="fr-FR"/>
        </w:rPr>
        <w:t>Sommaire : </w:t>
      </w:r>
    </w:p>
    <w:p w:rsidR="00C618D9" w:rsidRPr="00C618D9" w:rsidRDefault="00C618D9" w:rsidP="00C618D9">
      <w:pPr>
        <w:spacing w:after="225" w:line="322" w:lineRule="atLeast"/>
        <w:ind w:left="600"/>
        <w:jc w:val="both"/>
        <w:rPr>
          <w:rFonts w:ascii="Arial" w:eastAsia="Times New Roman" w:hAnsi="Arial" w:cs="Arial"/>
          <w:color w:val="000000"/>
          <w:sz w:val="20"/>
          <w:szCs w:val="20"/>
          <w:lang w:eastAsia="fr-FR"/>
        </w:rPr>
      </w:pPr>
      <w:r w:rsidRPr="00C618D9">
        <w:rPr>
          <w:rFonts w:ascii="Arial" w:eastAsia="Times New Roman" w:hAnsi="Arial" w:cs="Arial"/>
          <w:b/>
          <w:bCs/>
          <w:color w:val="000000"/>
          <w:sz w:val="20"/>
          <w:szCs w:val="20"/>
          <w:lang w:eastAsia="fr-FR"/>
        </w:rPr>
        <w:t>Si l’indemnisation des dommages résultant d’un accident du travail, qu’il soit ou non la conséquence d’un manquement de l’employeur à son obligation de sécurité, relève de la compétence exclusive du tribunal des affaires de sécurité sociale, la juridiction prud’homale est seule compétente pour statuer sur le bien-fondé de la rupture du contrat de travail et pour allouer, le cas échéant, une indemnisation au titre d’un licenciement sans cause réelle et sérieuse.</w:t>
      </w:r>
    </w:p>
    <w:p w:rsidR="00C618D9" w:rsidRPr="00C618D9" w:rsidRDefault="00C618D9" w:rsidP="00C618D9">
      <w:pPr>
        <w:spacing w:after="225" w:line="322" w:lineRule="atLeast"/>
        <w:ind w:left="600"/>
        <w:jc w:val="both"/>
        <w:rPr>
          <w:rFonts w:ascii="Arial" w:eastAsia="Times New Roman" w:hAnsi="Arial" w:cs="Arial"/>
          <w:color w:val="000000"/>
          <w:sz w:val="20"/>
          <w:szCs w:val="20"/>
          <w:lang w:eastAsia="fr-FR"/>
        </w:rPr>
      </w:pPr>
      <w:r w:rsidRPr="00C618D9">
        <w:rPr>
          <w:rFonts w:ascii="Arial" w:eastAsia="Times New Roman" w:hAnsi="Arial" w:cs="Arial"/>
          <w:b/>
          <w:bCs/>
          <w:color w:val="000000"/>
          <w:sz w:val="20"/>
          <w:szCs w:val="20"/>
          <w:lang w:eastAsia="fr-FR"/>
        </w:rPr>
        <w:t>Est dépourvu de cause réelle et sérieuse le licenciement pour inaptitude lorsqu’il est démontré que l’inaptitude était consécutive à un manquement préalable de l’employeur qui l’a provoquée.</w:t>
      </w:r>
    </w:p>
    <w:p w:rsidR="00C618D9" w:rsidRPr="00C618D9" w:rsidRDefault="00C618D9" w:rsidP="00C618D9">
      <w:pPr>
        <w:spacing w:before="150" w:after="150" w:line="240" w:lineRule="auto"/>
        <w:rPr>
          <w:rFonts w:ascii="Times New Roman" w:eastAsia="Times New Roman" w:hAnsi="Times New Roman" w:cs="Times New Roman"/>
          <w:sz w:val="24"/>
          <w:szCs w:val="24"/>
          <w:lang w:eastAsia="fr-FR"/>
        </w:rPr>
      </w:pPr>
      <w:r w:rsidRPr="00C618D9">
        <w:rPr>
          <w:rFonts w:ascii="Times New Roman" w:eastAsia="Times New Roman" w:hAnsi="Times New Roman" w:cs="Times New Roman"/>
          <w:sz w:val="24"/>
          <w:szCs w:val="24"/>
          <w:lang w:eastAsia="fr-FR"/>
        </w:rPr>
        <w:pict>
          <v:rect id="_x0000_i1026" style="width:0;height:0" o:hrstd="t" o:hrnoshade="t" o:hr="t" fillcolor="black" stroked="f"/>
        </w:pict>
      </w:r>
    </w:p>
    <w:p w:rsidR="00C618D9" w:rsidRPr="00C618D9" w:rsidRDefault="00C618D9" w:rsidP="00C618D9">
      <w:pPr>
        <w:spacing w:after="225" w:line="322" w:lineRule="atLeast"/>
        <w:jc w:val="both"/>
        <w:rPr>
          <w:rFonts w:ascii="Arial" w:eastAsia="Times New Roman" w:hAnsi="Arial" w:cs="Arial"/>
          <w:color w:val="000000"/>
          <w:sz w:val="20"/>
          <w:szCs w:val="20"/>
          <w:lang w:eastAsia="fr-FR"/>
        </w:rPr>
      </w:pPr>
      <w:r w:rsidRPr="00C618D9">
        <w:rPr>
          <w:rFonts w:ascii="Arial" w:eastAsia="Times New Roman" w:hAnsi="Arial" w:cs="Arial"/>
          <w:i/>
          <w:iCs/>
          <w:color w:val="000000"/>
          <w:sz w:val="20"/>
          <w:szCs w:val="20"/>
          <w:lang w:eastAsia="fr-FR"/>
        </w:rPr>
        <w:t>Demandeurs : M. Raphaël X...</w:t>
      </w:r>
      <w:r w:rsidRPr="00C618D9">
        <w:rPr>
          <w:rFonts w:ascii="Arial" w:eastAsia="Times New Roman" w:hAnsi="Arial" w:cs="Arial"/>
          <w:i/>
          <w:iCs/>
          <w:color w:val="000000"/>
          <w:sz w:val="20"/>
          <w:szCs w:val="20"/>
          <w:lang w:eastAsia="fr-FR"/>
        </w:rPr>
        <w:br/>
        <w:t>Défendeurs : M. Stéphane Y...</w:t>
      </w:r>
    </w:p>
    <w:p w:rsidR="00C618D9" w:rsidRPr="00C618D9" w:rsidRDefault="00C618D9" w:rsidP="00C618D9">
      <w:pPr>
        <w:spacing w:before="150" w:after="150" w:line="240" w:lineRule="auto"/>
        <w:rPr>
          <w:rFonts w:ascii="Times New Roman" w:eastAsia="Times New Roman" w:hAnsi="Times New Roman" w:cs="Times New Roman"/>
          <w:sz w:val="24"/>
          <w:szCs w:val="24"/>
          <w:lang w:eastAsia="fr-FR"/>
        </w:rPr>
      </w:pPr>
      <w:r w:rsidRPr="00C618D9">
        <w:rPr>
          <w:rFonts w:ascii="Times New Roman" w:eastAsia="Times New Roman" w:hAnsi="Times New Roman" w:cs="Times New Roman"/>
          <w:sz w:val="24"/>
          <w:szCs w:val="24"/>
          <w:lang w:eastAsia="fr-FR"/>
        </w:rPr>
        <w:pict>
          <v:rect id="_x0000_i1027" style="width:0;height:0" o:hrstd="t" o:hrnoshade="t" o:hr="t" fillcolor="black" stroked="f"/>
        </w:pict>
      </w:r>
    </w:p>
    <w:p w:rsidR="00C618D9" w:rsidRPr="00C618D9" w:rsidRDefault="00C618D9" w:rsidP="00C618D9">
      <w:pPr>
        <w:spacing w:before="150" w:after="150" w:line="240" w:lineRule="auto"/>
        <w:rPr>
          <w:rFonts w:ascii="Times New Roman" w:eastAsia="Times New Roman" w:hAnsi="Times New Roman" w:cs="Times New Roman"/>
          <w:sz w:val="24"/>
          <w:szCs w:val="24"/>
          <w:lang w:eastAsia="fr-FR"/>
        </w:rPr>
      </w:pPr>
      <w:r w:rsidRPr="00C618D9">
        <w:rPr>
          <w:rFonts w:ascii="Arial" w:eastAsia="Times New Roman" w:hAnsi="Arial" w:cs="Arial"/>
          <w:b/>
          <w:bCs/>
          <w:color w:val="000000"/>
          <w:sz w:val="20"/>
          <w:szCs w:val="20"/>
          <w:lang w:eastAsia="fr-FR"/>
        </w:rPr>
        <w:t>Sur le moyen unique</w:t>
      </w:r>
      <w:proofErr w:type="gramStart"/>
      <w:r w:rsidRPr="00C618D9">
        <w:rPr>
          <w:rFonts w:ascii="Arial" w:eastAsia="Times New Roman" w:hAnsi="Arial" w:cs="Arial"/>
          <w:b/>
          <w:bCs/>
          <w:color w:val="000000"/>
          <w:sz w:val="20"/>
          <w:szCs w:val="20"/>
          <w:lang w:eastAsia="fr-FR"/>
        </w:rPr>
        <w:t> </w:t>
      </w:r>
      <w:r w:rsidRPr="00C618D9">
        <w:rPr>
          <w:rFonts w:ascii="Arial" w:eastAsia="Times New Roman" w:hAnsi="Arial" w:cs="Arial"/>
          <w:color w:val="000000"/>
          <w:sz w:val="20"/>
          <w:szCs w:val="20"/>
          <w:shd w:val="clear" w:color="auto" w:fill="FFFFFF"/>
          <w:lang w:eastAsia="fr-FR"/>
        </w:rPr>
        <w:t> :</w:t>
      </w:r>
      <w:proofErr w:type="gramEnd"/>
    </w:p>
    <w:p w:rsidR="00C618D9" w:rsidRPr="00C618D9" w:rsidRDefault="00C618D9" w:rsidP="00C618D9">
      <w:pPr>
        <w:spacing w:after="225" w:line="322" w:lineRule="atLeast"/>
        <w:jc w:val="both"/>
        <w:rPr>
          <w:rFonts w:ascii="Arial" w:eastAsia="Times New Roman" w:hAnsi="Arial" w:cs="Arial"/>
          <w:color w:val="000000"/>
          <w:sz w:val="20"/>
          <w:szCs w:val="20"/>
          <w:lang w:eastAsia="fr-FR"/>
        </w:rPr>
      </w:pPr>
      <w:r w:rsidRPr="00C618D9">
        <w:rPr>
          <w:rFonts w:ascii="Arial" w:eastAsia="Times New Roman" w:hAnsi="Arial" w:cs="Arial"/>
          <w:color w:val="000000"/>
          <w:sz w:val="20"/>
          <w:szCs w:val="20"/>
          <w:lang w:eastAsia="fr-FR"/>
        </w:rPr>
        <w:t>Vu l’article L. 1411-1 du code du travail, ensemble les articles L. 451-1 et L. 142-1 du code de la sécurité sociale ;</w:t>
      </w:r>
    </w:p>
    <w:p w:rsidR="00C618D9" w:rsidRPr="00C618D9" w:rsidRDefault="00C618D9" w:rsidP="00C618D9">
      <w:pPr>
        <w:spacing w:after="225" w:line="322" w:lineRule="atLeast"/>
        <w:jc w:val="both"/>
        <w:rPr>
          <w:rFonts w:ascii="Arial" w:eastAsia="Times New Roman" w:hAnsi="Arial" w:cs="Arial"/>
          <w:color w:val="000000"/>
          <w:sz w:val="20"/>
          <w:szCs w:val="20"/>
          <w:lang w:eastAsia="fr-FR"/>
        </w:rPr>
      </w:pPr>
      <w:r w:rsidRPr="00C618D9">
        <w:rPr>
          <w:rFonts w:ascii="Arial" w:eastAsia="Times New Roman" w:hAnsi="Arial" w:cs="Arial"/>
          <w:color w:val="000000"/>
          <w:sz w:val="20"/>
          <w:szCs w:val="20"/>
          <w:lang w:eastAsia="fr-FR"/>
        </w:rPr>
        <w:t>Attendu, d’une part, que si l’indemnisation des dommages résultant d’un accident du travail, qu’il soit ou non la conséquence d’un manquement de l’employeur à son obligation de sécurité, relève de la compétence exclusive du tribunal des affaires de sécurité sociale, la juridiction prud’homale est seule compétente pour statuer sur le bien-fondé de la rupture du contrat de travail et pour allouer, le cas échéant, une indemnisation au titre d’un licenciement sans cause réelle et sérieuse ;</w:t>
      </w:r>
    </w:p>
    <w:p w:rsidR="00C618D9" w:rsidRPr="00C618D9" w:rsidRDefault="00C618D9" w:rsidP="00C618D9">
      <w:pPr>
        <w:spacing w:after="225" w:line="322" w:lineRule="atLeast"/>
        <w:jc w:val="both"/>
        <w:rPr>
          <w:rFonts w:ascii="Arial" w:eastAsia="Times New Roman" w:hAnsi="Arial" w:cs="Arial"/>
          <w:color w:val="000000"/>
          <w:sz w:val="20"/>
          <w:szCs w:val="20"/>
          <w:lang w:eastAsia="fr-FR"/>
        </w:rPr>
      </w:pPr>
      <w:r w:rsidRPr="00C618D9">
        <w:rPr>
          <w:rFonts w:ascii="Arial" w:eastAsia="Times New Roman" w:hAnsi="Arial" w:cs="Arial"/>
          <w:color w:val="000000"/>
          <w:sz w:val="20"/>
          <w:szCs w:val="20"/>
          <w:lang w:eastAsia="fr-FR"/>
        </w:rPr>
        <w:t>Attendu, d’autre part, qu’est dépourvu de cause réelle et sérieuse le licenciement pour inaptitude lorsqu’il est démontré que l’inaptitude était consécutive à un manquement préalable de l’employeur qui l’a provoquée ;</w:t>
      </w:r>
    </w:p>
    <w:p w:rsidR="00C618D9" w:rsidRPr="00C618D9" w:rsidRDefault="00C618D9" w:rsidP="00C618D9">
      <w:pPr>
        <w:spacing w:after="225" w:line="322" w:lineRule="atLeast"/>
        <w:jc w:val="both"/>
        <w:rPr>
          <w:rFonts w:ascii="Arial" w:eastAsia="Times New Roman" w:hAnsi="Arial" w:cs="Arial"/>
          <w:color w:val="000000"/>
          <w:sz w:val="20"/>
          <w:szCs w:val="20"/>
          <w:lang w:eastAsia="fr-FR"/>
        </w:rPr>
      </w:pPr>
      <w:r w:rsidRPr="00C618D9">
        <w:rPr>
          <w:rFonts w:ascii="Arial" w:eastAsia="Times New Roman" w:hAnsi="Arial" w:cs="Arial"/>
          <w:color w:val="000000"/>
          <w:sz w:val="20"/>
          <w:szCs w:val="20"/>
          <w:lang w:eastAsia="fr-FR"/>
        </w:rPr>
        <w:t xml:space="preserve">Attendu, selon l’arrêt attaqué, que M. X..., engagé le 18 février 2001 en qualité de couvreur par M. Y..., a été victime, le 8 avril 2005, d’un accident du travail ; que la juridiction de sécurité sociale a dit que cet accident était dû à la faute inexcusable de l’employeur et a fixé les préjudices subis par le </w:t>
      </w:r>
      <w:r w:rsidRPr="00C618D9">
        <w:rPr>
          <w:rFonts w:ascii="Arial" w:eastAsia="Times New Roman" w:hAnsi="Arial" w:cs="Arial"/>
          <w:color w:val="000000"/>
          <w:sz w:val="20"/>
          <w:szCs w:val="20"/>
          <w:lang w:eastAsia="fr-FR"/>
        </w:rPr>
        <w:lastRenderedPageBreak/>
        <w:t>salarié ; qu’ayant été licencié, le 23 octobre 2013, pour inaptitude et impossibilité de reclassement, M. X...a saisi la juridiction prud’homale ;</w:t>
      </w:r>
    </w:p>
    <w:p w:rsidR="00C618D9" w:rsidRPr="00C618D9" w:rsidRDefault="00C618D9" w:rsidP="00C618D9">
      <w:pPr>
        <w:spacing w:after="225" w:line="322" w:lineRule="atLeast"/>
        <w:jc w:val="both"/>
        <w:rPr>
          <w:rFonts w:ascii="Arial" w:eastAsia="Times New Roman" w:hAnsi="Arial" w:cs="Arial"/>
          <w:color w:val="000000"/>
          <w:sz w:val="20"/>
          <w:szCs w:val="20"/>
          <w:lang w:eastAsia="fr-FR"/>
        </w:rPr>
      </w:pPr>
      <w:r w:rsidRPr="00C618D9">
        <w:rPr>
          <w:rFonts w:ascii="Arial" w:eastAsia="Times New Roman" w:hAnsi="Arial" w:cs="Arial"/>
          <w:color w:val="000000"/>
          <w:sz w:val="20"/>
          <w:szCs w:val="20"/>
          <w:lang w:eastAsia="fr-FR"/>
        </w:rPr>
        <w:t>Attendu que pour rejeter la demande en paiement d’une indemnité réparant le préjudice subi du fait de la rupture du contrat de travail, l’arrêt retient que le salarié demande à la juridiction du travail de dire que son licenciement a pour cause la violation de l’obligation de sécurité de résultat incombant à son employeur et qu’en conséquence, il est sans cause réelle et sérieuse, et, à titre subsidiaire, qu’il a pour cause la faute inexcusable de son employeur, de sorte que cette nouvelle demande relève de la compétence exclusive du tribunal des affaires de sécurité sociale comme étant une demande de réparation d’un préjudice né de l’accident du travail, qu’il lui appartient de présenter cette demande devant la juridiction de sécurité sociale seule compétente puisqu’elle constitue une demande d’indemnisation de la perte de son emploi consécutive à l’accident du travail et à la reconnaissance de la faute inexcusable de l’employeur commise à son égard ;</w:t>
      </w:r>
    </w:p>
    <w:p w:rsidR="00C618D9" w:rsidRPr="00C618D9" w:rsidRDefault="00C618D9" w:rsidP="00C618D9">
      <w:pPr>
        <w:spacing w:after="225" w:line="322" w:lineRule="atLeast"/>
        <w:jc w:val="both"/>
        <w:rPr>
          <w:rFonts w:ascii="Arial" w:eastAsia="Times New Roman" w:hAnsi="Arial" w:cs="Arial"/>
          <w:color w:val="000000"/>
          <w:sz w:val="20"/>
          <w:szCs w:val="20"/>
          <w:lang w:eastAsia="fr-FR"/>
        </w:rPr>
      </w:pPr>
      <w:r w:rsidRPr="00C618D9">
        <w:rPr>
          <w:rFonts w:ascii="Arial" w:eastAsia="Times New Roman" w:hAnsi="Arial" w:cs="Arial"/>
          <w:color w:val="000000"/>
          <w:sz w:val="20"/>
          <w:szCs w:val="20"/>
          <w:lang w:eastAsia="fr-FR"/>
        </w:rPr>
        <w:t>Qu’en statuant ainsi, alors qu’elle avait constaté que le salarié demandait la réparation du préjudice consécutif à la rupture du contrat de travail et faisait valoir que son licenciement pour inaptitude était dépourvu de cause réelle et sérieuse en raison de la violation par l’employeur de son obligation de sécurité, la cour d’appel, qui n’a pas tiré les conséquences légales de ses constatations, a violé les textes susvisés ;</w:t>
      </w:r>
    </w:p>
    <w:p w:rsidR="00C618D9" w:rsidRPr="00C618D9" w:rsidRDefault="00C618D9" w:rsidP="00C618D9">
      <w:pPr>
        <w:spacing w:after="225" w:line="322" w:lineRule="atLeast"/>
        <w:jc w:val="both"/>
        <w:rPr>
          <w:rFonts w:ascii="Arial" w:eastAsia="Times New Roman" w:hAnsi="Arial" w:cs="Arial"/>
          <w:color w:val="000000"/>
          <w:sz w:val="20"/>
          <w:szCs w:val="20"/>
          <w:lang w:eastAsia="fr-FR"/>
        </w:rPr>
      </w:pPr>
      <w:r w:rsidRPr="00C618D9">
        <w:rPr>
          <w:rFonts w:ascii="Arial" w:eastAsia="Times New Roman" w:hAnsi="Arial" w:cs="Arial"/>
          <w:b/>
          <w:bCs/>
          <w:color w:val="000000"/>
          <w:sz w:val="20"/>
          <w:szCs w:val="20"/>
          <w:lang w:eastAsia="fr-FR"/>
        </w:rPr>
        <w:t>PAR CES MOTIFS</w:t>
      </w:r>
      <w:proofErr w:type="gramStart"/>
      <w:r w:rsidRPr="00C618D9">
        <w:rPr>
          <w:rFonts w:ascii="Arial" w:eastAsia="Times New Roman" w:hAnsi="Arial" w:cs="Arial"/>
          <w:b/>
          <w:bCs/>
          <w:color w:val="000000"/>
          <w:sz w:val="20"/>
          <w:szCs w:val="20"/>
          <w:lang w:eastAsia="fr-FR"/>
        </w:rPr>
        <w:t> </w:t>
      </w:r>
      <w:r w:rsidRPr="00C618D9">
        <w:rPr>
          <w:rFonts w:ascii="Arial" w:eastAsia="Times New Roman" w:hAnsi="Arial" w:cs="Arial"/>
          <w:color w:val="000000"/>
          <w:sz w:val="20"/>
          <w:szCs w:val="20"/>
          <w:lang w:eastAsia="fr-FR"/>
        </w:rPr>
        <w:t> :</w:t>
      </w:r>
      <w:proofErr w:type="gramEnd"/>
    </w:p>
    <w:p w:rsidR="00C618D9" w:rsidRPr="00C618D9" w:rsidRDefault="00C618D9" w:rsidP="00C618D9">
      <w:pPr>
        <w:spacing w:after="225" w:line="322" w:lineRule="atLeast"/>
        <w:jc w:val="both"/>
        <w:rPr>
          <w:rFonts w:ascii="Arial" w:eastAsia="Times New Roman" w:hAnsi="Arial" w:cs="Arial"/>
          <w:color w:val="000000"/>
          <w:sz w:val="20"/>
          <w:szCs w:val="20"/>
          <w:lang w:eastAsia="fr-FR"/>
        </w:rPr>
      </w:pPr>
      <w:r w:rsidRPr="00C618D9">
        <w:rPr>
          <w:rFonts w:ascii="Arial" w:eastAsia="Times New Roman" w:hAnsi="Arial" w:cs="Arial"/>
          <w:color w:val="000000"/>
          <w:sz w:val="20"/>
          <w:szCs w:val="20"/>
          <w:lang w:eastAsia="fr-FR"/>
        </w:rPr>
        <w:t>CASSE ET ANNULE, mais seulement en ce qu’il rejette la demande en paiement d’une indemnité en réparation du préjudice subi du fait de la rupture du contrat de travail, l’arrêt rendu le 30 septembre 2016, entre les parties, par la cour d’appel de Caen ; remet, en conséquence, sur ce point, la cause et les parties dans l’état où elles se trouvaient avant ledit arrêt et, pour être fait droit, les renvoie devant la cour d’appel de Rouen ;</w:t>
      </w:r>
    </w:p>
    <w:p w:rsidR="00C618D9" w:rsidRPr="00C618D9" w:rsidRDefault="00C618D9" w:rsidP="00C618D9">
      <w:pPr>
        <w:spacing w:before="150" w:after="150" w:line="240" w:lineRule="auto"/>
        <w:rPr>
          <w:rFonts w:ascii="Times New Roman" w:eastAsia="Times New Roman" w:hAnsi="Times New Roman" w:cs="Times New Roman"/>
          <w:sz w:val="24"/>
          <w:szCs w:val="24"/>
          <w:lang w:eastAsia="fr-FR"/>
        </w:rPr>
      </w:pPr>
      <w:r w:rsidRPr="00C618D9">
        <w:rPr>
          <w:rFonts w:ascii="Times New Roman" w:eastAsia="Times New Roman" w:hAnsi="Times New Roman" w:cs="Times New Roman"/>
          <w:sz w:val="24"/>
          <w:szCs w:val="24"/>
          <w:lang w:eastAsia="fr-FR"/>
        </w:rPr>
        <w:pict>
          <v:rect id="_x0000_i1028" style="width:0;height:0" o:hrstd="t" o:hrnoshade="t" o:hr="t" fillcolor="black" stroked="f"/>
        </w:pict>
      </w:r>
    </w:p>
    <w:p w:rsidR="00C618D9" w:rsidRPr="00C618D9" w:rsidRDefault="00C618D9" w:rsidP="00C618D9">
      <w:pPr>
        <w:spacing w:after="225" w:line="322" w:lineRule="atLeast"/>
        <w:jc w:val="both"/>
        <w:rPr>
          <w:rFonts w:ascii="Arial" w:eastAsia="Times New Roman" w:hAnsi="Arial" w:cs="Arial"/>
          <w:color w:val="000000"/>
          <w:sz w:val="20"/>
          <w:szCs w:val="20"/>
          <w:lang w:eastAsia="fr-FR"/>
        </w:rPr>
      </w:pPr>
      <w:r w:rsidRPr="00C618D9">
        <w:rPr>
          <w:rFonts w:ascii="Arial" w:eastAsia="Times New Roman" w:hAnsi="Arial" w:cs="Arial"/>
          <w:b/>
          <w:bCs/>
          <w:color w:val="000000"/>
          <w:sz w:val="20"/>
          <w:szCs w:val="20"/>
          <w:lang w:eastAsia="fr-FR"/>
        </w:rPr>
        <w:t>Président : M. </w:t>
      </w:r>
      <w:proofErr w:type="spellStart"/>
      <w:r w:rsidRPr="00C618D9">
        <w:rPr>
          <w:rFonts w:ascii="Arial" w:eastAsia="Times New Roman" w:hAnsi="Arial" w:cs="Arial"/>
          <w:b/>
          <w:bCs/>
          <w:color w:val="000000"/>
          <w:sz w:val="20"/>
          <w:szCs w:val="20"/>
          <w:lang w:eastAsia="fr-FR"/>
        </w:rPr>
        <w:t>Frouin</w:t>
      </w:r>
      <w:proofErr w:type="spellEnd"/>
      <w:r w:rsidRPr="00C618D9">
        <w:rPr>
          <w:rFonts w:ascii="Arial" w:eastAsia="Times New Roman" w:hAnsi="Arial" w:cs="Arial"/>
          <w:b/>
          <w:bCs/>
          <w:color w:val="000000"/>
          <w:sz w:val="20"/>
          <w:szCs w:val="20"/>
          <w:lang w:eastAsia="fr-FR"/>
        </w:rPr>
        <w:br/>
        <w:t>Rapporteur : M. </w:t>
      </w:r>
      <w:proofErr w:type="spellStart"/>
      <w:r w:rsidRPr="00C618D9">
        <w:rPr>
          <w:rFonts w:ascii="Arial" w:eastAsia="Times New Roman" w:hAnsi="Arial" w:cs="Arial"/>
          <w:b/>
          <w:bCs/>
          <w:color w:val="000000"/>
          <w:sz w:val="20"/>
          <w:szCs w:val="20"/>
          <w:lang w:eastAsia="fr-FR"/>
        </w:rPr>
        <w:t>Silhol</w:t>
      </w:r>
      <w:proofErr w:type="spellEnd"/>
      <w:r w:rsidRPr="00C618D9">
        <w:rPr>
          <w:rFonts w:ascii="Arial" w:eastAsia="Times New Roman" w:hAnsi="Arial" w:cs="Arial"/>
          <w:b/>
          <w:bCs/>
          <w:color w:val="000000"/>
          <w:sz w:val="20"/>
          <w:szCs w:val="20"/>
          <w:lang w:eastAsia="fr-FR"/>
        </w:rPr>
        <w:t>, conseiller référendaire</w:t>
      </w:r>
      <w:r w:rsidRPr="00C618D9">
        <w:rPr>
          <w:rFonts w:ascii="Arial" w:eastAsia="Times New Roman" w:hAnsi="Arial" w:cs="Arial"/>
          <w:b/>
          <w:bCs/>
          <w:color w:val="000000"/>
          <w:sz w:val="20"/>
          <w:szCs w:val="20"/>
          <w:lang w:eastAsia="fr-FR"/>
        </w:rPr>
        <w:br/>
        <w:t>Avocat général : Mme </w:t>
      </w:r>
      <w:proofErr w:type="spellStart"/>
      <w:r w:rsidRPr="00C618D9">
        <w:rPr>
          <w:rFonts w:ascii="Arial" w:eastAsia="Times New Roman" w:hAnsi="Arial" w:cs="Arial"/>
          <w:b/>
          <w:bCs/>
          <w:color w:val="000000"/>
          <w:sz w:val="20"/>
          <w:szCs w:val="20"/>
          <w:lang w:eastAsia="fr-FR"/>
        </w:rPr>
        <w:t>Grivel</w:t>
      </w:r>
      <w:proofErr w:type="spellEnd"/>
      <w:r w:rsidRPr="00C618D9">
        <w:rPr>
          <w:rFonts w:ascii="Arial" w:eastAsia="Times New Roman" w:hAnsi="Arial" w:cs="Arial"/>
          <w:b/>
          <w:bCs/>
          <w:color w:val="000000"/>
          <w:sz w:val="20"/>
          <w:szCs w:val="20"/>
          <w:lang w:eastAsia="fr-FR"/>
        </w:rPr>
        <w:br/>
        <w:t xml:space="preserve">Avocats : SCP Didier et </w:t>
      </w:r>
      <w:proofErr w:type="spellStart"/>
      <w:r w:rsidRPr="00C618D9">
        <w:rPr>
          <w:rFonts w:ascii="Arial" w:eastAsia="Times New Roman" w:hAnsi="Arial" w:cs="Arial"/>
          <w:b/>
          <w:bCs/>
          <w:color w:val="000000"/>
          <w:sz w:val="20"/>
          <w:szCs w:val="20"/>
          <w:lang w:eastAsia="fr-FR"/>
        </w:rPr>
        <w:t>Pinet</w:t>
      </w:r>
      <w:proofErr w:type="spellEnd"/>
      <w:r w:rsidRPr="00C618D9">
        <w:rPr>
          <w:rFonts w:ascii="Arial" w:eastAsia="Times New Roman" w:hAnsi="Arial" w:cs="Arial"/>
          <w:b/>
          <w:bCs/>
          <w:color w:val="000000"/>
          <w:sz w:val="20"/>
          <w:szCs w:val="20"/>
          <w:lang w:eastAsia="fr-FR"/>
        </w:rPr>
        <w:t xml:space="preserve"> - SCP </w:t>
      </w:r>
      <w:proofErr w:type="spellStart"/>
      <w:r w:rsidRPr="00C618D9">
        <w:rPr>
          <w:rFonts w:ascii="Arial" w:eastAsia="Times New Roman" w:hAnsi="Arial" w:cs="Arial"/>
          <w:b/>
          <w:bCs/>
          <w:color w:val="000000"/>
          <w:sz w:val="20"/>
          <w:szCs w:val="20"/>
          <w:lang w:eastAsia="fr-FR"/>
        </w:rPr>
        <w:t>Foussard</w:t>
      </w:r>
      <w:proofErr w:type="spellEnd"/>
      <w:r w:rsidRPr="00C618D9">
        <w:rPr>
          <w:rFonts w:ascii="Arial" w:eastAsia="Times New Roman" w:hAnsi="Arial" w:cs="Arial"/>
          <w:b/>
          <w:bCs/>
          <w:color w:val="000000"/>
          <w:sz w:val="20"/>
          <w:szCs w:val="20"/>
          <w:lang w:eastAsia="fr-FR"/>
        </w:rPr>
        <w:t xml:space="preserve"> et </w:t>
      </w:r>
      <w:proofErr w:type="spellStart"/>
      <w:r w:rsidRPr="00C618D9">
        <w:rPr>
          <w:rFonts w:ascii="Arial" w:eastAsia="Times New Roman" w:hAnsi="Arial" w:cs="Arial"/>
          <w:b/>
          <w:bCs/>
          <w:color w:val="000000"/>
          <w:sz w:val="20"/>
          <w:szCs w:val="20"/>
          <w:lang w:eastAsia="fr-FR"/>
        </w:rPr>
        <w:t>Froger</w:t>
      </w:r>
      <w:proofErr w:type="spellEnd"/>
      <w:r w:rsidRPr="00C618D9">
        <w:rPr>
          <w:rFonts w:ascii="Arial" w:eastAsia="Times New Roman" w:hAnsi="Arial" w:cs="Arial"/>
          <w:b/>
          <w:bCs/>
          <w:color w:val="000000"/>
          <w:sz w:val="20"/>
          <w:szCs w:val="20"/>
          <w:lang w:eastAsia="fr-FR"/>
        </w:rPr>
        <w:t> </w:t>
      </w:r>
    </w:p>
    <w:p w:rsidR="00F45D75" w:rsidRDefault="00F45D75"/>
    <w:sectPr w:rsidR="00F45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15C20"/>
    <w:multiLevelType w:val="multilevel"/>
    <w:tmpl w:val="F8E2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8D9"/>
    <w:rsid w:val="00C618D9"/>
    <w:rsid w:val="00F45D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C618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C618D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18D9"/>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C618D9"/>
    <w:rPr>
      <w:rFonts w:ascii="Times New Roman" w:eastAsia="Times New Roman" w:hAnsi="Times New Roman" w:cs="Times New Roman"/>
      <w:b/>
      <w:bCs/>
      <w:sz w:val="27"/>
      <w:szCs w:val="27"/>
      <w:lang w:eastAsia="fr-FR"/>
    </w:rPr>
  </w:style>
  <w:style w:type="character" w:customStyle="1" w:styleId="section">
    <w:name w:val="section"/>
    <w:basedOn w:val="Policepardfaut"/>
    <w:rsid w:val="00C618D9"/>
  </w:style>
  <w:style w:type="character" w:styleId="Lienhypertexte">
    <w:name w:val="Hyperlink"/>
    <w:basedOn w:val="Policepardfaut"/>
    <w:uiPriority w:val="99"/>
    <w:semiHidden/>
    <w:unhideWhenUsed/>
    <w:rsid w:val="00C618D9"/>
    <w:rPr>
      <w:color w:val="0000FF"/>
      <w:u w:val="single"/>
    </w:rPr>
  </w:style>
  <w:style w:type="paragraph" w:styleId="NormalWeb">
    <w:name w:val="Normal (Web)"/>
    <w:basedOn w:val="Normal"/>
    <w:uiPriority w:val="99"/>
    <w:semiHidden/>
    <w:unhideWhenUsed/>
    <w:rsid w:val="00C618D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618D9"/>
    <w:rPr>
      <w:b/>
      <w:bCs/>
    </w:rPr>
  </w:style>
  <w:style w:type="character" w:styleId="Accentuation">
    <w:name w:val="Emphasis"/>
    <w:basedOn w:val="Policepardfaut"/>
    <w:uiPriority w:val="20"/>
    <w:qFormat/>
    <w:rsid w:val="00C618D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C618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C618D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18D9"/>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C618D9"/>
    <w:rPr>
      <w:rFonts w:ascii="Times New Roman" w:eastAsia="Times New Roman" w:hAnsi="Times New Roman" w:cs="Times New Roman"/>
      <w:b/>
      <w:bCs/>
      <w:sz w:val="27"/>
      <w:szCs w:val="27"/>
      <w:lang w:eastAsia="fr-FR"/>
    </w:rPr>
  </w:style>
  <w:style w:type="character" w:customStyle="1" w:styleId="section">
    <w:name w:val="section"/>
    <w:basedOn w:val="Policepardfaut"/>
    <w:rsid w:val="00C618D9"/>
  </w:style>
  <w:style w:type="character" w:styleId="Lienhypertexte">
    <w:name w:val="Hyperlink"/>
    <w:basedOn w:val="Policepardfaut"/>
    <w:uiPriority w:val="99"/>
    <w:semiHidden/>
    <w:unhideWhenUsed/>
    <w:rsid w:val="00C618D9"/>
    <w:rPr>
      <w:color w:val="0000FF"/>
      <w:u w:val="single"/>
    </w:rPr>
  </w:style>
  <w:style w:type="paragraph" w:styleId="NormalWeb">
    <w:name w:val="Normal (Web)"/>
    <w:basedOn w:val="Normal"/>
    <w:uiPriority w:val="99"/>
    <w:semiHidden/>
    <w:unhideWhenUsed/>
    <w:rsid w:val="00C618D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618D9"/>
    <w:rPr>
      <w:b/>
      <w:bCs/>
    </w:rPr>
  </w:style>
  <w:style w:type="character" w:styleId="Accentuation">
    <w:name w:val="Emphasis"/>
    <w:basedOn w:val="Policepardfaut"/>
    <w:uiPriority w:val="20"/>
    <w:qFormat/>
    <w:rsid w:val="00C618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95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639</Words>
  <Characters>3519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CFDT</Company>
  <LinksUpToDate>false</LinksUpToDate>
  <CharactersWithSpaces>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 Delphine</dc:creator>
  <cp:lastModifiedBy>MEYER Delphine</cp:lastModifiedBy>
  <cp:revision>1</cp:revision>
  <dcterms:created xsi:type="dcterms:W3CDTF">2018-05-17T08:08:00Z</dcterms:created>
  <dcterms:modified xsi:type="dcterms:W3CDTF">2018-05-17T08:09:00Z</dcterms:modified>
</cp:coreProperties>
</file>