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93" w:rsidRPr="003D2893" w:rsidRDefault="003D2893" w:rsidP="003D2893">
      <w:pPr>
        <w:shd w:val="clear" w:color="auto" w:fill="FFFFFF"/>
        <w:spacing w:before="375" w:after="375" w:line="389" w:lineRule="atLeast"/>
        <w:outlineLvl w:val="0"/>
        <w:rPr>
          <w:rFonts w:ascii="Arial" w:eastAsia="Times New Roman" w:hAnsi="Arial" w:cs="Arial"/>
          <w:color w:val="000000"/>
          <w:sz w:val="20"/>
          <w:szCs w:val="20"/>
          <w:lang w:eastAsia="fr-FR"/>
        </w:rPr>
      </w:pPr>
      <w:r w:rsidRPr="003D2893">
        <w:rPr>
          <w:rFonts w:ascii="Arial" w:eastAsia="Times New Roman" w:hAnsi="Arial" w:cs="Arial"/>
          <w:color w:val="000000"/>
          <w:kern w:val="36"/>
          <w:sz w:val="37"/>
          <w:szCs w:val="37"/>
          <w:lang w:eastAsia="fr-FR"/>
        </w:rPr>
        <w:t xml:space="preserve">Arrêt n° 2484 du 22 novembre 2017 (13-19.855) - Cour de cassation - Chambre sociale - </w:t>
      </w:r>
    </w:p>
    <w:p w:rsidR="003D2893" w:rsidRPr="003D2893" w:rsidRDefault="003D2893" w:rsidP="003D2893">
      <w:pPr>
        <w:shd w:val="clear" w:color="auto" w:fill="FFFFFF"/>
        <w:spacing w:before="150" w:after="150" w:line="240" w:lineRule="auto"/>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pict>
          <v:rect id="_x0000_i1027" style="width:0;height:0" o:hralign="center" o:hrstd="t" o:hr="t" fillcolor="#a0a0a0" stroked="f"/>
        </w:pict>
      </w:r>
    </w:p>
    <w:p w:rsidR="003D2893" w:rsidRPr="003D2893" w:rsidRDefault="003D2893" w:rsidP="003D2893">
      <w:pPr>
        <w:shd w:val="clear" w:color="auto" w:fill="FFFFFF"/>
        <w:spacing w:after="225" w:line="322" w:lineRule="atLeast"/>
        <w:ind w:left="375"/>
        <w:jc w:val="both"/>
        <w:rPr>
          <w:rFonts w:ascii="Arial" w:eastAsia="Times New Roman" w:hAnsi="Arial" w:cs="Arial"/>
          <w:color w:val="000000"/>
          <w:sz w:val="20"/>
          <w:szCs w:val="20"/>
          <w:lang w:eastAsia="fr-FR"/>
        </w:rPr>
      </w:pPr>
      <w:r w:rsidRPr="003D2893">
        <w:rPr>
          <w:rFonts w:ascii="Arial" w:eastAsia="Times New Roman" w:hAnsi="Arial" w:cs="Arial"/>
          <w:b/>
          <w:bCs/>
          <w:color w:val="C50024"/>
          <w:sz w:val="20"/>
          <w:szCs w:val="20"/>
          <w:lang w:eastAsia="fr-FR"/>
        </w:rPr>
        <w:t>Sommaire</w:t>
      </w:r>
      <w:r w:rsidRPr="003D2893">
        <w:rPr>
          <w:rFonts w:ascii="Arial" w:eastAsia="Times New Roman" w:hAnsi="Arial" w:cs="Arial"/>
          <w:color w:val="000000"/>
          <w:sz w:val="20"/>
          <w:szCs w:val="20"/>
          <w:lang w:eastAsia="fr-FR"/>
        </w:rPr>
        <w:t> : </w:t>
      </w:r>
      <w:r w:rsidRPr="003D2893">
        <w:rPr>
          <w:rFonts w:ascii="Arial" w:eastAsia="Times New Roman" w:hAnsi="Arial" w:cs="Arial"/>
          <w:b/>
          <w:bCs/>
          <w:color w:val="000000"/>
          <w:sz w:val="20"/>
          <w:szCs w:val="20"/>
          <w:lang w:eastAsia="fr-FR"/>
        </w:rPr>
        <w:t>Saisie par la Cour de cassation d’une question préjudicielle, la Cour de justice de l’Union européenne, par arrêt du 14 mars 2017 (CJUE, arrêt du 14 mars 2017, X... et ADDH, C-188/15), a dit pour droit : « L’article 4, paragraphe 1, de la directive 2000/78/CE du Conseil, du 27 novembre 2000, portant création d’un cadre général en faveur de l’égalité de traitement en matière d’emploi et de travail, doit être interprété en ce sens que la volonté d’un employeur de tenir compte des souhaits d’un client de ne plus voir les services dudit employeur assurés par une travailleuse portant un foulard islamique ne saurait être considérée comme une exigence professionnelle essentielle et déterminante au sens de cette disposition ».</w:t>
      </w:r>
    </w:p>
    <w:p w:rsidR="003D2893" w:rsidRPr="003D2893" w:rsidRDefault="003D2893" w:rsidP="003D2893">
      <w:pPr>
        <w:shd w:val="clear" w:color="auto" w:fill="FFFFFF"/>
        <w:spacing w:after="225" w:line="322" w:lineRule="atLeast"/>
        <w:ind w:left="375"/>
        <w:jc w:val="both"/>
        <w:rPr>
          <w:rFonts w:ascii="Arial" w:eastAsia="Times New Roman" w:hAnsi="Arial" w:cs="Arial"/>
          <w:color w:val="000000"/>
          <w:sz w:val="20"/>
          <w:szCs w:val="20"/>
          <w:lang w:eastAsia="fr-FR"/>
        </w:rPr>
      </w:pPr>
      <w:r w:rsidRPr="003D2893">
        <w:rPr>
          <w:rFonts w:ascii="Arial" w:eastAsia="Times New Roman" w:hAnsi="Arial" w:cs="Arial"/>
          <w:b/>
          <w:bCs/>
          <w:color w:val="000000"/>
          <w:sz w:val="20"/>
          <w:szCs w:val="20"/>
          <w:lang w:eastAsia="fr-FR"/>
        </w:rPr>
        <w:t>Par arrêt du même jour (CJUE, arrêt du 14 mars 2017, G4S Secure Solutions, C-157/15), la Cour de justice a dit pour droit : « L’article 2, paragraphe 2, sous a), de la directive 2000/78/CE du Conseil, du 27 novembre 2000, portant création d’un cadre général en faveur de l’égalité de traitement en matière d’emploi et de travail, doit être interprété en ce sens que l’interdiction de porter un foulard islamique, qui découle d’une règle interne d’une entreprise privée interdisant le port visible de tout signe politique, philosophique ou religieux sur le lieu de travail, ne constitue pas une discrimination directe fondée sur la religion ou sur les convictions au sens de cette directive. </w:t>
      </w:r>
      <w:r w:rsidRPr="003D2893">
        <w:rPr>
          <w:rFonts w:ascii="Arial" w:eastAsia="Times New Roman" w:hAnsi="Arial" w:cs="Arial"/>
          <w:b/>
          <w:bCs/>
          <w:color w:val="000000"/>
          <w:sz w:val="20"/>
          <w:szCs w:val="20"/>
          <w:lang w:eastAsia="fr-FR"/>
        </w:rPr>
        <w:br/>
        <w:t>En revanche, une telle règle interne d’une entreprise privée est susceptible de constituer une discrimination indirecte au sens de l’article 2, paragraphe 2, sous b), de la directive 2000/78 s’il est établi que l’obligation en apparence neutre qu’elle prévoit entraîne, en fait, un désavantage particulier pour les personnes adhérant à une religion ou à des convictions données, à moins qu’elle ne soit objectivement justifiée par un objectif légitime, tel que la poursuite par l’employeur, dans ses relations avec ses clients, d’une politique de neutralité politique, philosophique ainsi que religieuse, et que les moyens de réaliser cet objectif ne soient appropriés et nécessaires, ce qu’il appartient à la juridiction de renvoi de vérifier ».</w:t>
      </w:r>
    </w:p>
    <w:p w:rsidR="003D2893" w:rsidRPr="003D2893" w:rsidRDefault="003D2893" w:rsidP="003D2893">
      <w:pPr>
        <w:shd w:val="clear" w:color="auto" w:fill="FFFFFF"/>
        <w:spacing w:after="225" w:line="322" w:lineRule="atLeast"/>
        <w:ind w:left="375"/>
        <w:jc w:val="both"/>
        <w:rPr>
          <w:rFonts w:ascii="Arial" w:eastAsia="Times New Roman" w:hAnsi="Arial" w:cs="Arial"/>
          <w:color w:val="000000"/>
          <w:sz w:val="20"/>
          <w:szCs w:val="20"/>
          <w:lang w:eastAsia="fr-FR"/>
        </w:rPr>
      </w:pPr>
      <w:r w:rsidRPr="003D2893">
        <w:rPr>
          <w:rFonts w:ascii="Arial" w:eastAsia="Times New Roman" w:hAnsi="Arial" w:cs="Arial"/>
          <w:b/>
          <w:bCs/>
          <w:color w:val="000000"/>
          <w:sz w:val="20"/>
          <w:szCs w:val="20"/>
          <w:lang w:eastAsia="fr-FR"/>
        </w:rPr>
        <w:t>La Cour de justice a précisé, dans les motifs de cette dernière décision, s’agissant du refus d’une salariée de renoncer au port du foulard islamique dans l’exercice de ses activités professionnelles auprès de clients de l’employeur, qu’il appartient à la juridiction nationale de vérifier si, tout en tenant compte des contraintes inhérentes à l’entreprise, et sans que celle-ci ait à subir une charge supplémentaire, il eût été possible à l’employeur, face à un tel refus, de lui proposer un poste de travail n’impliquant pas de contact visuel avec ces clients, plutôt que de procéder à son licenciement.</w:t>
      </w:r>
    </w:p>
    <w:p w:rsidR="003D2893" w:rsidRPr="003D2893" w:rsidRDefault="003D2893" w:rsidP="003D2893">
      <w:pPr>
        <w:shd w:val="clear" w:color="auto" w:fill="FFFFFF"/>
        <w:spacing w:after="225" w:line="322" w:lineRule="atLeast"/>
        <w:ind w:left="375"/>
        <w:jc w:val="both"/>
        <w:rPr>
          <w:rFonts w:ascii="Arial" w:eastAsia="Times New Roman" w:hAnsi="Arial" w:cs="Arial"/>
          <w:color w:val="000000"/>
          <w:sz w:val="20"/>
          <w:szCs w:val="20"/>
          <w:lang w:eastAsia="fr-FR"/>
        </w:rPr>
      </w:pPr>
      <w:r w:rsidRPr="003D2893">
        <w:rPr>
          <w:rFonts w:ascii="Arial" w:eastAsia="Times New Roman" w:hAnsi="Arial" w:cs="Arial"/>
          <w:b/>
          <w:bCs/>
          <w:color w:val="000000"/>
          <w:sz w:val="20"/>
          <w:szCs w:val="20"/>
          <w:lang w:eastAsia="fr-FR"/>
        </w:rPr>
        <w:t xml:space="preserve">Il en résulte que l’employeur, investi de la mission de faire respecter au sein de la communauté de travail l’ensemble des libertés et droits fondamentaux de chaque salarié, </w:t>
      </w:r>
      <w:r w:rsidRPr="003D2893">
        <w:rPr>
          <w:rFonts w:ascii="Arial" w:eastAsia="Times New Roman" w:hAnsi="Arial" w:cs="Arial"/>
          <w:b/>
          <w:bCs/>
          <w:color w:val="000000"/>
          <w:sz w:val="20"/>
          <w:szCs w:val="20"/>
          <w:lang w:eastAsia="fr-FR"/>
        </w:rPr>
        <w:lastRenderedPageBreak/>
        <w:t>peut prévoir dans le règlement intérieur de l’entreprise ou dans une note de service soumise aux mêmes dispositions que le règlement intérieur en application de l’article L. 1321-5 du code du travail, une clause de neutralité interdisant le port visible de tout signe politique, philosophique ou religieux sur le lieu de travail, dès lors que cette clause générale et indifférenciée n’est appliquée qu’aux salariés se trouvant en contact avec les clients ; qu’en présence du refus d’une salariée de se conformer à une telle clause dans l’exercice de ses activités professionnelles auprès des clients de l’entreprise, il appartient à l’employeur de rechercher si, tout en tenant compte des contraintes inhérentes à l’entreprise et sans que celle-ci ait à subir une charge supplémentaire, il lui est possible de proposer à la salariée un poste de travail n’impliquant pas de contact visuel avec ces clients, plutôt que de procéder à son licenciement.</w:t>
      </w:r>
    </w:p>
    <w:p w:rsidR="003D2893" w:rsidRPr="003D2893" w:rsidRDefault="003D2893" w:rsidP="003D2893">
      <w:pPr>
        <w:shd w:val="clear" w:color="auto" w:fill="FFFFFF"/>
        <w:spacing w:before="150" w:after="150" w:line="240" w:lineRule="auto"/>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pict>
          <v:rect id="_x0000_i1028" style="width:0;height:0" o:hralign="center" o:hrstd="t" o:hr="t" fillcolor="#a0a0a0" stroked="f"/>
        </w:pic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i/>
          <w:iCs/>
          <w:color w:val="000000"/>
          <w:sz w:val="20"/>
          <w:szCs w:val="20"/>
          <w:lang w:eastAsia="fr-FR"/>
        </w:rPr>
        <w:t>Demandeur : Mme Asma X... ; et autre</w:t>
      </w:r>
      <w:r w:rsidRPr="003D2893">
        <w:rPr>
          <w:rFonts w:ascii="Arial" w:eastAsia="Times New Roman" w:hAnsi="Arial" w:cs="Arial"/>
          <w:i/>
          <w:iCs/>
          <w:color w:val="000000"/>
          <w:sz w:val="20"/>
          <w:szCs w:val="20"/>
          <w:lang w:eastAsia="fr-FR"/>
        </w:rPr>
        <w:br/>
        <w:t xml:space="preserve">Défendeur : société </w:t>
      </w:r>
      <w:proofErr w:type="spellStart"/>
      <w:r w:rsidRPr="003D2893">
        <w:rPr>
          <w:rFonts w:ascii="Arial" w:eastAsia="Times New Roman" w:hAnsi="Arial" w:cs="Arial"/>
          <w:i/>
          <w:iCs/>
          <w:color w:val="000000"/>
          <w:sz w:val="20"/>
          <w:szCs w:val="20"/>
          <w:lang w:eastAsia="fr-FR"/>
        </w:rPr>
        <w:t>Micropole</w:t>
      </w:r>
      <w:proofErr w:type="spellEnd"/>
      <w:r w:rsidRPr="003D2893">
        <w:rPr>
          <w:rFonts w:ascii="Arial" w:eastAsia="Times New Roman" w:hAnsi="Arial" w:cs="Arial"/>
          <w:i/>
          <w:iCs/>
          <w:color w:val="000000"/>
          <w:sz w:val="20"/>
          <w:szCs w:val="20"/>
          <w:lang w:eastAsia="fr-FR"/>
        </w:rPr>
        <w:t xml:space="preserve">, ayant eu pour nom commercial </w:t>
      </w:r>
      <w:proofErr w:type="spellStart"/>
      <w:r w:rsidRPr="003D2893">
        <w:rPr>
          <w:rFonts w:ascii="Arial" w:eastAsia="Times New Roman" w:hAnsi="Arial" w:cs="Arial"/>
          <w:i/>
          <w:iCs/>
          <w:color w:val="000000"/>
          <w:sz w:val="20"/>
          <w:szCs w:val="20"/>
          <w:lang w:eastAsia="fr-FR"/>
        </w:rPr>
        <w:t>Micropole</w:t>
      </w:r>
      <w:proofErr w:type="spellEnd"/>
      <w:r w:rsidRPr="003D2893">
        <w:rPr>
          <w:rFonts w:ascii="Arial" w:eastAsia="Times New Roman" w:hAnsi="Arial" w:cs="Arial"/>
          <w:i/>
          <w:iCs/>
          <w:color w:val="000000"/>
          <w:sz w:val="20"/>
          <w:szCs w:val="20"/>
          <w:lang w:eastAsia="fr-FR"/>
        </w:rPr>
        <w:t xml:space="preserve"> univers, société anonyme</w:t>
      </w:r>
    </w:p>
    <w:p w:rsidR="003D2893" w:rsidRPr="003D2893" w:rsidRDefault="003D2893" w:rsidP="003D2893">
      <w:pPr>
        <w:shd w:val="clear" w:color="auto" w:fill="FFFFFF"/>
        <w:spacing w:before="150" w:after="150" w:line="240" w:lineRule="auto"/>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pict>
          <v:rect id="_x0000_i1029" style="width:0;height:0" o:hralign="center" o:hrstd="t" o:hr="t" fillcolor="#a0a0a0" stroked="f"/>
        </w:pic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b/>
          <w:bCs/>
          <w:color w:val="000000"/>
          <w:sz w:val="20"/>
          <w:szCs w:val="20"/>
          <w:lang w:eastAsia="fr-FR"/>
        </w:rPr>
        <w:t>Sur le moyen unique, pris en sa troisième branche</w:t>
      </w:r>
      <w:r w:rsidRPr="003D2893">
        <w:rPr>
          <w:rFonts w:ascii="Arial" w:eastAsia="Times New Roman" w:hAnsi="Arial" w:cs="Arial"/>
          <w:color w:val="000000"/>
          <w:sz w:val="20"/>
          <w:szCs w:val="20"/>
          <w:lang w:eastAsia="fr-FR"/>
        </w:rPr>
        <w:t>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t>Vu les articles L. 1121-1, L. 1132-1, dans sa rédaction applicable, L. 1133-1, L. 1321-3, 2°, du code du travail, dans sa rédaction applicable, ensemble l’article 9 de la Convention de sauvegarde des droits de l’homme et des libertés fondamentales et les articles 2, § 2, et 4, § 1, de la directive 2000/78/CE du Conseil du 27 novembre 2000 portant création d’un cadre général en faveur de l’égalité de traitement en matière d’emploi et de travail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t xml:space="preserve">Attendu qu’il résulte des articles L. 1121-1, L. 1132-1 et L. 1133-1 du code du travail, mettant en </w:t>
      </w:r>
      <w:proofErr w:type="spellStart"/>
      <w:r w:rsidRPr="003D2893">
        <w:rPr>
          <w:rFonts w:ascii="Arial" w:eastAsia="Times New Roman" w:hAnsi="Arial" w:cs="Arial"/>
          <w:color w:val="000000"/>
          <w:sz w:val="20"/>
          <w:szCs w:val="20"/>
          <w:lang w:eastAsia="fr-FR"/>
        </w:rPr>
        <w:t>oeuvre</w:t>
      </w:r>
      <w:proofErr w:type="spellEnd"/>
      <w:r w:rsidRPr="003D2893">
        <w:rPr>
          <w:rFonts w:ascii="Arial" w:eastAsia="Times New Roman" w:hAnsi="Arial" w:cs="Arial"/>
          <w:color w:val="000000"/>
          <w:sz w:val="20"/>
          <w:szCs w:val="20"/>
          <w:lang w:eastAsia="fr-FR"/>
        </w:rPr>
        <w:t xml:space="preserve"> en droit interne les dispositions des articles 2, § 2, et 4, § 1, de la directive 2000/78/CE du Conseil du 27 novembre 2000, que les restrictions à la liberté religieuse doivent être justifiées par la nature de la tâche à accomplir, répondre à une exigence professionnelle essentielle et déterminante et proportionnées au but recherché ; qu’aux termes de l’article L. 1321-3, 2°, du code du travail, le règlement intérieur ne peut contenir des dispositions apportant aux droits des personnes et aux libertés individuelles et collectives des restrictions qui ne seraient pas justifiées par la nature de la tâche à accomplir ni proportionnées au but recherché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t xml:space="preserve">Attendu que, saisie par la Cour de cassation dans le présent pourvoi d’une question préjudicielle, la Cour de justice de l’Union européenne, par arrêt du 14 mars 2017 (CJUE, Asma X..., </w:t>
      </w:r>
      <w:proofErr w:type="spellStart"/>
      <w:r w:rsidRPr="003D2893">
        <w:rPr>
          <w:rFonts w:ascii="Arial" w:eastAsia="Times New Roman" w:hAnsi="Arial" w:cs="Arial"/>
          <w:color w:val="000000"/>
          <w:sz w:val="20"/>
          <w:szCs w:val="20"/>
          <w:lang w:eastAsia="fr-FR"/>
        </w:rPr>
        <w:t>aff.</w:t>
      </w:r>
      <w:proofErr w:type="spellEnd"/>
      <w:r w:rsidRPr="003D2893">
        <w:rPr>
          <w:rFonts w:ascii="Arial" w:eastAsia="Times New Roman" w:hAnsi="Arial" w:cs="Arial"/>
          <w:color w:val="000000"/>
          <w:sz w:val="20"/>
          <w:szCs w:val="20"/>
          <w:lang w:eastAsia="fr-FR"/>
        </w:rPr>
        <w:t xml:space="preserve"> C-188/15), a dit pour droit : “L’article 4, paragraphe 1, de la directive 2000/78/CE du Conseil, du 27 novembre 2000, portant création d’un cadre général en faveur de l’égalité de traitement en matière d’emploi et de travail, doit être interprété en ce sens que la volonté d’un employeur de tenir compte des souhaits d’un client de ne plus voir les services dudit employeur assurés par une travailleuse portant un foulard islamique ne saurait être considérée comme une exigence professionnelle essentielle et déterminante au sens de cette disposition”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lastRenderedPageBreak/>
        <w:t>Attendu, par ailleurs, que, par arrêt du même jour (CJUE, 14 mars 2017, G4S Secure Solutions, C-157/15), la Cour de justice a dit pour droit : “L’article 2, paragraphe 2, sous a), de la directive 2000/78/CE du Conseil, du 27 novembre 2000, portant création d’un cadre général en faveur de l’égalité de traitement en matière d’emploi et de travail, doit être interprété en ce sens que l’interdiction de porter un foulard islamique, qui découle d’une règle interne d’une entreprise privée interdisant le port visible de tout signe politique, philosophique ou religieux sur le lieu de travail, ne constitue pas une discrimination directe fondée sur la religion ou sur les convictions au sens de cette directive ; qu’en revanche, une telle règle interne d’une entreprise privée est susceptible de constituer une discrimination indirecte au sens de l’article 2, paragraphe 2, sous b), de la directive 2000/78/CE s’il est établi que l’obligation en apparence neutre qu’elle prévoit entraîne, en fait, un désavantage particulier pour les personnes adhérant à une religion ou à des convictions données, à moins qu’elle ne soit objectivement justifiée par un objectif légitime, tel que la poursuite par l’employeur, dans ses relations avec ses clients, d’une politique de neutralité politique, philosophique ainsi que religieuse, et que les moyens de réaliser cet objectif ne soient appropriés et nécessaires, ce qu’il appartient à la juridiction de renvoi de vérifier”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t>Attendu que la Cour de justice a précisé, dans les motifs de cette dernière décision (§ 43), s’agissant du refus d’une salariée de renoncer au port du foulard islamique dans l’exercice de ses activités professionnelles auprès de clients de l’employeur, qu’il appartient à la juridiction nationale de vérifier si, tout en tenant compte des contraintes inhérentes à l’entreprise, et sans que celle-ci ait à subir une charge supplémentaire, il eût été possible à l’employeur, face à un tel refus, de lui proposer un poste de travail n’impliquant pas de contact visuel avec ces clients, plutôt que de procéder à son licenciement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t>Attendu qu’il en résulte que l’employeur, investi de la mission de faire respecter au sein de la communauté de travail l’ensemble des libertés et droits fondamentaux de chaque salarié, peut prévoir dans le règlement intérieur de l’entreprise ou dans une note de service soumise aux mêmes dispositions que le règlement intérieur, en application de l’article L. 1321-5 du code du travail, une clause de neutralité interdisant le port visible de tout signe politique, philosophique ou religieux sur le lieu de travail, dès lors que cette clause générale et indifférenciée n’est appliquée qu’aux salariés se trouvant en contact avec les clients ; qu’en présence du refus d’une salariée de se conformer à une telle clause dans l’exercice de ses activités professionnelles auprès des clients de l’entreprise, il appartient à l’employeur de rechercher si, tout en tenant compte des contraintes inhérentes à l’entreprise et sans que celle-ci ait à subir une charge supplémentaire, il lui est possible de proposer à la salariée un poste de travail n’impliquant pas de contact visuel avec ces clients, plutôt que de procéder à son licenciement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t xml:space="preserve">Attendu, selon l’arrêt attaqué, que Mme X... a été engagée à compter du 15 juillet 2008 par contrat de travail à durée indéterminée par la société </w:t>
      </w:r>
      <w:proofErr w:type="spellStart"/>
      <w:r w:rsidRPr="003D2893">
        <w:rPr>
          <w:rFonts w:ascii="Arial" w:eastAsia="Times New Roman" w:hAnsi="Arial" w:cs="Arial"/>
          <w:color w:val="000000"/>
          <w:sz w:val="20"/>
          <w:szCs w:val="20"/>
          <w:lang w:eastAsia="fr-FR"/>
        </w:rPr>
        <w:t>Micropole</w:t>
      </w:r>
      <w:proofErr w:type="spellEnd"/>
      <w:r w:rsidRPr="003D2893">
        <w:rPr>
          <w:rFonts w:ascii="Arial" w:eastAsia="Times New Roman" w:hAnsi="Arial" w:cs="Arial"/>
          <w:color w:val="000000"/>
          <w:sz w:val="20"/>
          <w:szCs w:val="20"/>
          <w:lang w:eastAsia="fr-FR"/>
        </w:rPr>
        <w:t xml:space="preserve"> univers, société de conseil, d’ingénierie et de formation spécialisée dans le développement et l’intégration de solutions décisionnelles, en qualité d’ingénieur d’études ; qu’elle a été convoquée à un entretien préalable à un éventuel licenciement le 15 juin 2009 et licenciée par lettre du 22 juin 2009 pour faute pour avoir refusé d’ôter son foulard islamique lorsqu’elle intervenait dans des entreprises clientes de la société ; que la salariée a saisi le </w:t>
      </w:r>
      <w:r w:rsidRPr="003D2893">
        <w:rPr>
          <w:rFonts w:ascii="Arial" w:eastAsia="Times New Roman" w:hAnsi="Arial" w:cs="Arial"/>
          <w:color w:val="000000"/>
          <w:sz w:val="20"/>
          <w:szCs w:val="20"/>
          <w:lang w:eastAsia="fr-FR"/>
        </w:rPr>
        <w:lastRenderedPageBreak/>
        <w:t>10 novembre 2009 la juridiction prud’homale en contestant son licenciement et en faisant valoir qu’il constituait une mesure discriminatoire en raison de ses convictions religieuses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t>Attendu que, pour dire le licenciement fondé sur une cause réelle et sérieuse, l’arrêt retient qu’une entreprise doit tenir compte de la diversité des clients et de leurs convictions et qu’elle est donc naturellement amenée à imposer aux employés qu’elle envoie au contact de sa clientèle une obligation de discrétion qui respecte les convictions de chacun, à la condition toutefois que la restriction qui en résulte soit justifiée par la nature de la tâche à effectuer et proportionnée au but recherché, qu’en l’espèce, il est établi qu’une société cliente a souhaité que les interventions de la salariée se fassent désormais sans port de voile afin de ne pas gêner certains de ses collaborateurs, que la restriction que l’employeur a alors imposée à la liberté de la salariée de manifester ses convictions religieuses par sa tenue vestimentaire a été proportionnée au but recherché puisque seulement limitée aux contacts avec la clientèle, les travaux effectués dans ses locaux par un ingénieur d’études portant un voile ne lui créant aucune difficulté selon ses propres déclarations, qu’ainsi, il apparaît que le licenciement ne procède pas d’une discrimination tenant à ses convictions religieuses puisque la salariée était autorisée à continuer à les exprimer au sein de l’entreprise mais qu’il est justifié par une restriction légitime procédant des intérêts de l’entreprise alors que la liberté donnée à la salariée de manifester ses convictions religieuses débordait le périmètre de l’entreprise et empiétait sur les sensibilités de ses clients et donc sur les droits d’autrui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t>Qu’en statuant ainsi, alors qu’il résultait de ses constatations qu’aucune clause de neutralité interdisant le port visible de tout signe politique, philosophique ou religieux sur le lieu de travail n’était prévue dans le règlement intérieur de l’entreprise ou dans une note de service soumise aux mêmes dispositions que le règlement intérieur en application de l’article L. 1321-5 du code du travail et que l’interdiction faite à la salariée de porter le foulard islamique dans ses contacts avec les clients résultait seulement d’un ordre oral donné à une salariée et visant un signe religieux déterminé, ce dont il résultait l’existence d’une discrimination directement fondée sur les convictions religieuses, et alors qu’il résulte de l’arrêt de la Cour de justice en réponse à la question préjudicielle posée que la volonté d’un employeur de tenir compte des souhaits d’un client de ne plus voir les services dudit employeur assurés par une salariée portant un foulard islamique ne saurait être considérée comme une exigence professionnelle essentielle et déterminante au sens de l’article 4, paragraphe 1, de la directive du 27 novembre 2000, la cour d’appel a méconnu la portée des textes susvisés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b/>
          <w:bCs/>
          <w:color w:val="000000"/>
          <w:sz w:val="20"/>
          <w:szCs w:val="20"/>
          <w:lang w:eastAsia="fr-FR"/>
        </w:rPr>
        <w:t>Par ces motifs</w:t>
      </w:r>
      <w:r w:rsidRPr="003D2893">
        <w:rPr>
          <w:rFonts w:ascii="Arial" w:eastAsia="Times New Roman" w:hAnsi="Arial" w:cs="Arial"/>
          <w:color w:val="000000"/>
          <w:sz w:val="20"/>
          <w:szCs w:val="20"/>
          <w:lang w:eastAsia="fr-FR"/>
        </w:rPr>
        <w:t> :</w:t>
      </w:r>
    </w:p>
    <w:p w:rsidR="003D2893" w:rsidRPr="003D2893" w:rsidRDefault="003D2893" w:rsidP="003D2893">
      <w:pPr>
        <w:shd w:val="clear" w:color="auto" w:fill="FFFFFF"/>
        <w:spacing w:after="225" w:line="322" w:lineRule="atLeast"/>
        <w:jc w:val="both"/>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t>CASSE ET ANNULE, en toutes ses dispositions, l’arrêt rendu le 18 avril 2013, entre les parties, par la cour d’appel de Paris ;</w:t>
      </w:r>
    </w:p>
    <w:p w:rsidR="003D2893" w:rsidRPr="003D2893" w:rsidRDefault="003D2893" w:rsidP="003D2893">
      <w:pPr>
        <w:shd w:val="clear" w:color="auto" w:fill="FFFFFF"/>
        <w:spacing w:before="150" w:after="150" w:line="240" w:lineRule="auto"/>
        <w:rPr>
          <w:rFonts w:ascii="Arial" w:eastAsia="Times New Roman" w:hAnsi="Arial" w:cs="Arial"/>
          <w:color w:val="000000"/>
          <w:sz w:val="20"/>
          <w:szCs w:val="20"/>
          <w:lang w:eastAsia="fr-FR"/>
        </w:rPr>
      </w:pPr>
      <w:r w:rsidRPr="003D2893">
        <w:rPr>
          <w:rFonts w:ascii="Arial" w:eastAsia="Times New Roman" w:hAnsi="Arial" w:cs="Arial"/>
          <w:color w:val="000000"/>
          <w:sz w:val="20"/>
          <w:szCs w:val="20"/>
          <w:lang w:eastAsia="fr-FR"/>
        </w:rPr>
        <w:pict>
          <v:rect id="_x0000_i1030" style="width:0;height:0" o:hralign="center" o:hrstd="t" o:hr="t" fillcolor="#a0a0a0" stroked="f"/>
        </w:pict>
      </w:r>
    </w:p>
    <w:p w:rsidR="003D2893" w:rsidRPr="003D2893" w:rsidRDefault="003D2893" w:rsidP="003D2893">
      <w:pPr>
        <w:shd w:val="clear" w:color="auto" w:fill="FFFFFF"/>
        <w:spacing w:after="225" w:line="322" w:lineRule="atLeast"/>
        <w:rPr>
          <w:rFonts w:ascii="Arial" w:eastAsia="Times New Roman" w:hAnsi="Arial" w:cs="Arial"/>
          <w:color w:val="000000"/>
          <w:sz w:val="20"/>
          <w:szCs w:val="20"/>
          <w:lang w:eastAsia="fr-FR"/>
        </w:rPr>
      </w:pPr>
      <w:r w:rsidRPr="003D2893">
        <w:rPr>
          <w:rFonts w:ascii="Arial" w:eastAsia="Times New Roman" w:hAnsi="Arial" w:cs="Arial"/>
          <w:b/>
          <w:bCs/>
          <w:color w:val="000000"/>
          <w:sz w:val="20"/>
          <w:szCs w:val="20"/>
          <w:lang w:eastAsia="fr-FR"/>
        </w:rPr>
        <w:t>Président : M. </w:t>
      </w:r>
      <w:proofErr w:type="spellStart"/>
      <w:r w:rsidRPr="003D2893">
        <w:rPr>
          <w:rFonts w:ascii="Arial" w:eastAsia="Times New Roman" w:hAnsi="Arial" w:cs="Arial"/>
          <w:b/>
          <w:bCs/>
          <w:color w:val="000000"/>
          <w:sz w:val="20"/>
          <w:szCs w:val="20"/>
          <w:lang w:eastAsia="fr-FR"/>
        </w:rPr>
        <w:t>Frouin</w:t>
      </w:r>
      <w:proofErr w:type="spellEnd"/>
      <w:r w:rsidRPr="003D2893">
        <w:rPr>
          <w:rFonts w:ascii="Arial" w:eastAsia="Times New Roman" w:hAnsi="Arial" w:cs="Arial"/>
          <w:b/>
          <w:bCs/>
          <w:color w:val="000000"/>
          <w:sz w:val="20"/>
          <w:szCs w:val="20"/>
          <w:lang w:eastAsia="fr-FR"/>
        </w:rPr>
        <w:br/>
        <w:t>Rapporteur : M. </w:t>
      </w:r>
      <w:proofErr w:type="spellStart"/>
      <w:r w:rsidRPr="003D2893">
        <w:rPr>
          <w:rFonts w:ascii="Arial" w:eastAsia="Times New Roman" w:hAnsi="Arial" w:cs="Arial"/>
          <w:b/>
          <w:bCs/>
          <w:color w:val="000000"/>
          <w:sz w:val="20"/>
          <w:szCs w:val="20"/>
          <w:lang w:eastAsia="fr-FR"/>
        </w:rPr>
        <w:t>Huglo</w:t>
      </w:r>
      <w:proofErr w:type="spellEnd"/>
      <w:r w:rsidRPr="003D2893">
        <w:rPr>
          <w:rFonts w:ascii="Arial" w:eastAsia="Times New Roman" w:hAnsi="Arial" w:cs="Arial"/>
          <w:b/>
          <w:bCs/>
          <w:color w:val="000000"/>
          <w:sz w:val="20"/>
          <w:szCs w:val="20"/>
          <w:lang w:eastAsia="fr-FR"/>
        </w:rPr>
        <w:t>, conseiller doyen</w:t>
      </w:r>
      <w:r w:rsidRPr="003D2893">
        <w:rPr>
          <w:rFonts w:ascii="Arial" w:eastAsia="Times New Roman" w:hAnsi="Arial" w:cs="Arial"/>
          <w:b/>
          <w:bCs/>
          <w:color w:val="000000"/>
          <w:sz w:val="20"/>
          <w:szCs w:val="20"/>
          <w:lang w:eastAsia="fr-FR"/>
        </w:rPr>
        <w:br/>
        <w:t>Avocat général : Mme </w:t>
      </w:r>
      <w:proofErr w:type="spellStart"/>
      <w:r w:rsidRPr="003D2893">
        <w:rPr>
          <w:rFonts w:ascii="Arial" w:eastAsia="Times New Roman" w:hAnsi="Arial" w:cs="Arial"/>
          <w:b/>
          <w:bCs/>
          <w:color w:val="000000"/>
          <w:sz w:val="20"/>
          <w:szCs w:val="20"/>
          <w:lang w:eastAsia="fr-FR"/>
        </w:rPr>
        <w:t>Courcol</w:t>
      </w:r>
      <w:proofErr w:type="spellEnd"/>
      <w:r w:rsidRPr="003D2893">
        <w:rPr>
          <w:rFonts w:ascii="Arial" w:eastAsia="Times New Roman" w:hAnsi="Arial" w:cs="Arial"/>
          <w:b/>
          <w:bCs/>
          <w:color w:val="000000"/>
          <w:sz w:val="20"/>
          <w:szCs w:val="20"/>
          <w:lang w:eastAsia="fr-FR"/>
        </w:rPr>
        <w:t>-Bouchard, premier avocat général</w:t>
      </w:r>
      <w:r w:rsidRPr="003D2893">
        <w:rPr>
          <w:rFonts w:ascii="Arial" w:eastAsia="Times New Roman" w:hAnsi="Arial" w:cs="Arial"/>
          <w:b/>
          <w:bCs/>
          <w:color w:val="000000"/>
          <w:sz w:val="20"/>
          <w:szCs w:val="20"/>
          <w:lang w:eastAsia="fr-FR"/>
        </w:rPr>
        <w:br/>
        <w:t xml:space="preserve">Avocat(s) : SCP </w:t>
      </w:r>
      <w:proofErr w:type="spellStart"/>
      <w:r w:rsidRPr="003D2893">
        <w:rPr>
          <w:rFonts w:ascii="Arial" w:eastAsia="Times New Roman" w:hAnsi="Arial" w:cs="Arial"/>
          <w:b/>
          <w:bCs/>
          <w:color w:val="000000"/>
          <w:sz w:val="20"/>
          <w:szCs w:val="20"/>
          <w:lang w:eastAsia="fr-FR"/>
        </w:rPr>
        <w:t>Waquet</w:t>
      </w:r>
      <w:proofErr w:type="spellEnd"/>
      <w:r w:rsidRPr="003D2893">
        <w:rPr>
          <w:rFonts w:ascii="Arial" w:eastAsia="Times New Roman" w:hAnsi="Arial" w:cs="Arial"/>
          <w:b/>
          <w:bCs/>
          <w:color w:val="000000"/>
          <w:sz w:val="20"/>
          <w:szCs w:val="20"/>
          <w:lang w:eastAsia="fr-FR"/>
        </w:rPr>
        <w:t xml:space="preserve">, Farge et Hazan - SCP </w:t>
      </w:r>
      <w:proofErr w:type="spellStart"/>
      <w:r w:rsidRPr="003D2893">
        <w:rPr>
          <w:rFonts w:ascii="Arial" w:eastAsia="Times New Roman" w:hAnsi="Arial" w:cs="Arial"/>
          <w:b/>
          <w:bCs/>
          <w:color w:val="000000"/>
          <w:sz w:val="20"/>
          <w:szCs w:val="20"/>
          <w:lang w:eastAsia="fr-FR"/>
        </w:rPr>
        <w:t>Célice</w:t>
      </w:r>
      <w:proofErr w:type="spellEnd"/>
      <w:r w:rsidRPr="003D2893">
        <w:rPr>
          <w:rFonts w:ascii="Arial" w:eastAsia="Times New Roman" w:hAnsi="Arial" w:cs="Arial"/>
          <w:b/>
          <w:bCs/>
          <w:color w:val="000000"/>
          <w:sz w:val="20"/>
          <w:szCs w:val="20"/>
          <w:lang w:eastAsia="fr-FR"/>
        </w:rPr>
        <w:t xml:space="preserve">, </w:t>
      </w:r>
      <w:proofErr w:type="spellStart"/>
      <w:r w:rsidRPr="003D2893">
        <w:rPr>
          <w:rFonts w:ascii="Arial" w:eastAsia="Times New Roman" w:hAnsi="Arial" w:cs="Arial"/>
          <w:b/>
          <w:bCs/>
          <w:color w:val="000000"/>
          <w:sz w:val="20"/>
          <w:szCs w:val="20"/>
          <w:lang w:eastAsia="fr-FR"/>
        </w:rPr>
        <w:t>Soltner</w:t>
      </w:r>
      <w:proofErr w:type="spellEnd"/>
      <w:r w:rsidRPr="003D2893">
        <w:rPr>
          <w:rFonts w:ascii="Arial" w:eastAsia="Times New Roman" w:hAnsi="Arial" w:cs="Arial"/>
          <w:b/>
          <w:bCs/>
          <w:color w:val="000000"/>
          <w:sz w:val="20"/>
          <w:szCs w:val="20"/>
          <w:lang w:eastAsia="fr-FR"/>
        </w:rPr>
        <w:t xml:space="preserve">, </w:t>
      </w:r>
      <w:proofErr w:type="spellStart"/>
      <w:r w:rsidRPr="003D2893">
        <w:rPr>
          <w:rFonts w:ascii="Arial" w:eastAsia="Times New Roman" w:hAnsi="Arial" w:cs="Arial"/>
          <w:b/>
          <w:bCs/>
          <w:color w:val="000000"/>
          <w:sz w:val="20"/>
          <w:szCs w:val="20"/>
          <w:lang w:eastAsia="fr-FR"/>
        </w:rPr>
        <w:t>Texidor</w:t>
      </w:r>
      <w:proofErr w:type="spellEnd"/>
      <w:r w:rsidRPr="003D2893">
        <w:rPr>
          <w:rFonts w:ascii="Arial" w:eastAsia="Times New Roman" w:hAnsi="Arial" w:cs="Arial"/>
          <w:b/>
          <w:bCs/>
          <w:color w:val="000000"/>
          <w:sz w:val="20"/>
          <w:szCs w:val="20"/>
          <w:lang w:eastAsia="fr-FR"/>
        </w:rPr>
        <w:t xml:space="preserve"> et Périer</w:t>
      </w:r>
    </w:p>
    <w:p w:rsidR="00B62BF6" w:rsidRDefault="00B62BF6">
      <w:bookmarkStart w:id="0" w:name="_GoBack"/>
      <w:bookmarkEnd w:id="0"/>
    </w:p>
    <w:sectPr w:rsidR="00B62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326"/>
    <w:multiLevelType w:val="multilevel"/>
    <w:tmpl w:val="617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F6388"/>
    <w:multiLevelType w:val="multilevel"/>
    <w:tmpl w:val="45F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D47C3"/>
    <w:multiLevelType w:val="multilevel"/>
    <w:tmpl w:val="AC22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91AA7"/>
    <w:multiLevelType w:val="multilevel"/>
    <w:tmpl w:val="73C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E232E"/>
    <w:multiLevelType w:val="multilevel"/>
    <w:tmpl w:val="96B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2E737F"/>
    <w:multiLevelType w:val="multilevel"/>
    <w:tmpl w:val="4BD4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3"/>
    <w:rsid w:val="003D2893"/>
    <w:rsid w:val="00B62B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D28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D289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89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D289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D2893"/>
    <w:rPr>
      <w:color w:val="0000FF"/>
      <w:u w:val="single"/>
    </w:rPr>
  </w:style>
  <w:style w:type="character" w:customStyle="1" w:styleId="divider">
    <w:name w:val="divider"/>
    <w:basedOn w:val="Policepardfaut"/>
    <w:rsid w:val="003D2893"/>
  </w:style>
  <w:style w:type="character" w:customStyle="1" w:styleId="section">
    <w:name w:val="section"/>
    <w:basedOn w:val="Policepardfaut"/>
    <w:rsid w:val="003D2893"/>
  </w:style>
  <w:style w:type="paragraph" w:styleId="NormalWeb">
    <w:name w:val="Normal (Web)"/>
    <w:basedOn w:val="Normal"/>
    <w:uiPriority w:val="99"/>
    <w:semiHidden/>
    <w:unhideWhenUsed/>
    <w:rsid w:val="003D28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2893"/>
    <w:rPr>
      <w:b/>
      <w:bCs/>
    </w:rPr>
  </w:style>
  <w:style w:type="character" w:styleId="Accentuation">
    <w:name w:val="Emphasis"/>
    <w:basedOn w:val="Policepardfaut"/>
    <w:uiPriority w:val="20"/>
    <w:qFormat/>
    <w:rsid w:val="003D2893"/>
    <w:rPr>
      <w:i/>
      <w:iCs/>
    </w:rPr>
  </w:style>
  <w:style w:type="paragraph" w:styleId="z-Hautduformulaire">
    <w:name w:val="HTML Top of Form"/>
    <w:basedOn w:val="Normal"/>
    <w:next w:val="Normal"/>
    <w:link w:val="z-HautduformulaireCar"/>
    <w:hidden/>
    <w:uiPriority w:val="99"/>
    <w:semiHidden/>
    <w:unhideWhenUsed/>
    <w:rsid w:val="003D289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D289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D289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D2893"/>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3D28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2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D28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D289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89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D289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D2893"/>
    <w:rPr>
      <w:color w:val="0000FF"/>
      <w:u w:val="single"/>
    </w:rPr>
  </w:style>
  <w:style w:type="character" w:customStyle="1" w:styleId="divider">
    <w:name w:val="divider"/>
    <w:basedOn w:val="Policepardfaut"/>
    <w:rsid w:val="003D2893"/>
  </w:style>
  <w:style w:type="character" w:customStyle="1" w:styleId="section">
    <w:name w:val="section"/>
    <w:basedOn w:val="Policepardfaut"/>
    <w:rsid w:val="003D2893"/>
  </w:style>
  <w:style w:type="paragraph" w:styleId="NormalWeb">
    <w:name w:val="Normal (Web)"/>
    <w:basedOn w:val="Normal"/>
    <w:uiPriority w:val="99"/>
    <w:semiHidden/>
    <w:unhideWhenUsed/>
    <w:rsid w:val="003D28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2893"/>
    <w:rPr>
      <w:b/>
      <w:bCs/>
    </w:rPr>
  </w:style>
  <w:style w:type="character" w:styleId="Accentuation">
    <w:name w:val="Emphasis"/>
    <w:basedOn w:val="Policepardfaut"/>
    <w:uiPriority w:val="20"/>
    <w:qFormat/>
    <w:rsid w:val="003D2893"/>
    <w:rPr>
      <w:i/>
      <w:iCs/>
    </w:rPr>
  </w:style>
  <w:style w:type="paragraph" w:styleId="z-Hautduformulaire">
    <w:name w:val="HTML Top of Form"/>
    <w:basedOn w:val="Normal"/>
    <w:next w:val="Normal"/>
    <w:link w:val="z-HautduformulaireCar"/>
    <w:hidden/>
    <w:uiPriority w:val="99"/>
    <w:semiHidden/>
    <w:unhideWhenUsed/>
    <w:rsid w:val="003D289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D289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D289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D2893"/>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3D28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2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45386">
      <w:bodyDiv w:val="1"/>
      <w:marLeft w:val="0"/>
      <w:marRight w:val="0"/>
      <w:marTop w:val="0"/>
      <w:marBottom w:val="0"/>
      <w:divBdr>
        <w:top w:val="none" w:sz="0" w:space="0" w:color="auto"/>
        <w:left w:val="none" w:sz="0" w:space="0" w:color="auto"/>
        <w:bottom w:val="none" w:sz="0" w:space="0" w:color="auto"/>
        <w:right w:val="none" w:sz="0" w:space="0" w:color="auto"/>
      </w:divBdr>
      <w:divsChild>
        <w:div w:id="1394693526">
          <w:marLeft w:val="0"/>
          <w:marRight w:val="0"/>
          <w:marTop w:val="0"/>
          <w:marBottom w:val="0"/>
          <w:divBdr>
            <w:top w:val="none" w:sz="0" w:space="0" w:color="auto"/>
            <w:left w:val="none" w:sz="0" w:space="0" w:color="auto"/>
            <w:bottom w:val="none" w:sz="0" w:space="0" w:color="auto"/>
            <w:right w:val="none" w:sz="0" w:space="0" w:color="auto"/>
          </w:divBdr>
          <w:divsChild>
            <w:div w:id="8871948">
              <w:marLeft w:val="-225"/>
              <w:marRight w:val="-225"/>
              <w:marTop w:val="0"/>
              <w:marBottom w:val="0"/>
              <w:divBdr>
                <w:top w:val="none" w:sz="0" w:space="0" w:color="auto"/>
                <w:left w:val="none" w:sz="0" w:space="0" w:color="auto"/>
                <w:bottom w:val="none" w:sz="0" w:space="0" w:color="auto"/>
                <w:right w:val="none" w:sz="0" w:space="0" w:color="auto"/>
              </w:divBdr>
              <w:divsChild>
                <w:div w:id="914976078">
                  <w:marLeft w:val="0"/>
                  <w:marRight w:val="0"/>
                  <w:marTop w:val="0"/>
                  <w:marBottom w:val="0"/>
                  <w:divBdr>
                    <w:top w:val="none" w:sz="0" w:space="0" w:color="auto"/>
                    <w:left w:val="none" w:sz="0" w:space="0" w:color="auto"/>
                    <w:bottom w:val="none" w:sz="0" w:space="0" w:color="auto"/>
                    <w:right w:val="none" w:sz="0" w:space="0" w:color="auto"/>
                  </w:divBdr>
                </w:div>
                <w:div w:id="732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189">
          <w:marLeft w:val="0"/>
          <w:marRight w:val="0"/>
          <w:marTop w:val="0"/>
          <w:marBottom w:val="0"/>
          <w:divBdr>
            <w:top w:val="none" w:sz="0" w:space="0" w:color="auto"/>
            <w:left w:val="none" w:sz="0" w:space="0" w:color="auto"/>
            <w:bottom w:val="none" w:sz="0" w:space="0" w:color="auto"/>
            <w:right w:val="none" w:sz="0" w:space="0" w:color="auto"/>
          </w:divBdr>
          <w:divsChild>
            <w:div w:id="2064983404">
              <w:marLeft w:val="0"/>
              <w:marRight w:val="0"/>
              <w:marTop w:val="0"/>
              <w:marBottom w:val="0"/>
              <w:divBdr>
                <w:top w:val="none" w:sz="0" w:space="0" w:color="auto"/>
                <w:left w:val="none" w:sz="0" w:space="0" w:color="auto"/>
                <w:bottom w:val="none" w:sz="0" w:space="0" w:color="auto"/>
                <w:right w:val="none" w:sz="0" w:space="0" w:color="auto"/>
              </w:divBdr>
              <w:divsChild>
                <w:div w:id="115802148">
                  <w:marLeft w:val="0"/>
                  <w:marRight w:val="0"/>
                  <w:marTop w:val="0"/>
                  <w:marBottom w:val="0"/>
                  <w:divBdr>
                    <w:top w:val="none" w:sz="0" w:space="0" w:color="auto"/>
                    <w:left w:val="none" w:sz="0" w:space="0" w:color="auto"/>
                    <w:bottom w:val="none" w:sz="0" w:space="0" w:color="auto"/>
                    <w:right w:val="none" w:sz="0" w:space="0" w:color="auto"/>
                  </w:divBdr>
                  <w:divsChild>
                    <w:div w:id="1239442923">
                      <w:marLeft w:val="0"/>
                      <w:marRight w:val="0"/>
                      <w:marTop w:val="0"/>
                      <w:marBottom w:val="0"/>
                      <w:divBdr>
                        <w:top w:val="none" w:sz="0" w:space="0" w:color="auto"/>
                        <w:left w:val="none" w:sz="0" w:space="0" w:color="auto"/>
                        <w:bottom w:val="none" w:sz="0" w:space="0" w:color="auto"/>
                        <w:right w:val="none" w:sz="0" w:space="0" w:color="auto"/>
                      </w:divBdr>
                      <w:divsChild>
                        <w:div w:id="1311787966">
                          <w:marLeft w:val="0"/>
                          <w:marRight w:val="0"/>
                          <w:marTop w:val="0"/>
                          <w:marBottom w:val="0"/>
                          <w:divBdr>
                            <w:top w:val="none" w:sz="0" w:space="0" w:color="auto"/>
                            <w:left w:val="none" w:sz="0" w:space="0" w:color="auto"/>
                            <w:bottom w:val="none" w:sz="0" w:space="0" w:color="auto"/>
                            <w:right w:val="none" w:sz="0" w:space="0" w:color="auto"/>
                          </w:divBdr>
                        </w:div>
                        <w:div w:id="1163199870">
                          <w:marLeft w:val="0"/>
                          <w:marRight w:val="0"/>
                          <w:marTop w:val="0"/>
                          <w:marBottom w:val="0"/>
                          <w:divBdr>
                            <w:top w:val="none" w:sz="0" w:space="0" w:color="auto"/>
                            <w:left w:val="none" w:sz="0" w:space="0" w:color="auto"/>
                            <w:bottom w:val="none" w:sz="0" w:space="0" w:color="auto"/>
                            <w:right w:val="none" w:sz="0" w:space="0" w:color="auto"/>
                          </w:divBdr>
                        </w:div>
                        <w:div w:id="1147551932">
                          <w:marLeft w:val="0"/>
                          <w:marRight w:val="0"/>
                          <w:marTop w:val="0"/>
                          <w:marBottom w:val="0"/>
                          <w:divBdr>
                            <w:top w:val="none" w:sz="0" w:space="0" w:color="auto"/>
                            <w:left w:val="none" w:sz="0" w:space="0" w:color="auto"/>
                            <w:bottom w:val="none" w:sz="0" w:space="0" w:color="auto"/>
                            <w:right w:val="none" w:sz="0" w:space="0" w:color="auto"/>
                          </w:divBdr>
                        </w:div>
                        <w:div w:id="2101247525">
                          <w:marLeft w:val="0"/>
                          <w:marRight w:val="0"/>
                          <w:marTop w:val="0"/>
                          <w:marBottom w:val="0"/>
                          <w:divBdr>
                            <w:top w:val="none" w:sz="0" w:space="0" w:color="auto"/>
                            <w:left w:val="none" w:sz="0" w:space="0" w:color="auto"/>
                            <w:bottom w:val="none" w:sz="0" w:space="0" w:color="auto"/>
                            <w:right w:val="none" w:sz="0" w:space="0" w:color="auto"/>
                          </w:divBdr>
                        </w:div>
                        <w:div w:id="2140298199">
                          <w:marLeft w:val="0"/>
                          <w:marRight w:val="0"/>
                          <w:marTop w:val="0"/>
                          <w:marBottom w:val="0"/>
                          <w:divBdr>
                            <w:top w:val="none" w:sz="0" w:space="0" w:color="auto"/>
                            <w:left w:val="none" w:sz="0" w:space="0" w:color="auto"/>
                            <w:bottom w:val="none" w:sz="0" w:space="0" w:color="auto"/>
                            <w:right w:val="none" w:sz="0" w:space="0" w:color="auto"/>
                          </w:divBdr>
                        </w:div>
                        <w:div w:id="2044943386">
                          <w:marLeft w:val="0"/>
                          <w:marRight w:val="0"/>
                          <w:marTop w:val="0"/>
                          <w:marBottom w:val="0"/>
                          <w:divBdr>
                            <w:top w:val="none" w:sz="0" w:space="0" w:color="auto"/>
                            <w:left w:val="none" w:sz="0" w:space="0" w:color="auto"/>
                            <w:bottom w:val="none" w:sz="0" w:space="0" w:color="auto"/>
                            <w:right w:val="none" w:sz="0" w:space="0" w:color="auto"/>
                          </w:divBdr>
                        </w:div>
                        <w:div w:id="21230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3256">
          <w:marLeft w:val="0"/>
          <w:marRight w:val="0"/>
          <w:marTop w:val="0"/>
          <w:marBottom w:val="75"/>
          <w:divBdr>
            <w:top w:val="none" w:sz="0" w:space="0" w:color="auto"/>
            <w:left w:val="none" w:sz="0" w:space="0" w:color="auto"/>
            <w:bottom w:val="none" w:sz="0" w:space="0" w:color="auto"/>
            <w:right w:val="none" w:sz="0" w:space="0" w:color="auto"/>
          </w:divBdr>
          <w:divsChild>
            <w:div w:id="636491444">
              <w:marLeft w:val="225"/>
              <w:marRight w:val="225"/>
              <w:marTop w:val="0"/>
              <w:marBottom w:val="0"/>
              <w:divBdr>
                <w:top w:val="none" w:sz="0" w:space="0" w:color="auto"/>
                <w:left w:val="none" w:sz="0" w:space="0" w:color="auto"/>
                <w:bottom w:val="none" w:sz="0" w:space="0" w:color="auto"/>
                <w:right w:val="none" w:sz="0" w:space="0" w:color="auto"/>
              </w:divBdr>
              <w:divsChild>
                <w:div w:id="15338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629">
          <w:marLeft w:val="-225"/>
          <w:marRight w:val="-225"/>
          <w:marTop w:val="0"/>
          <w:marBottom w:val="0"/>
          <w:divBdr>
            <w:top w:val="none" w:sz="0" w:space="0" w:color="auto"/>
            <w:left w:val="none" w:sz="0" w:space="0" w:color="auto"/>
            <w:bottom w:val="none" w:sz="0" w:space="0" w:color="auto"/>
            <w:right w:val="none" w:sz="0" w:space="0" w:color="auto"/>
          </w:divBdr>
          <w:divsChild>
            <w:div w:id="2092771060">
              <w:marLeft w:val="0"/>
              <w:marRight w:val="0"/>
              <w:marTop w:val="0"/>
              <w:marBottom w:val="150"/>
              <w:divBdr>
                <w:top w:val="none" w:sz="0" w:space="0" w:color="auto"/>
                <w:left w:val="none" w:sz="0" w:space="0" w:color="auto"/>
                <w:bottom w:val="none" w:sz="0" w:space="0" w:color="auto"/>
                <w:right w:val="none" w:sz="0" w:space="0" w:color="auto"/>
              </w:divBdr>
              <w:divsChild>
                <w:div w:id="1397633372">
                  <w:marLeft w:val="0"/>
                  <w:marRight w:val="0"/>
                  <w:marTop w:val="0"/>
                  <w:marBottom w:val="0"/>
                  <w:divBdr>
                    <w:top w:val="none" w:sz="0" w:space="0" w:color="auto"/>
                    <w:left w:val="none" w:sz="0" w:space="0" w:color="auto"/>
                    <w:bottom w:val="none" w:sz="0" w:space="0" w:color="auto"/>
                    <w:right w:val="none" w:sz="0" w:space="0" w:color="auto"/>
                  </w:divBdr>
                </w:div>
              </w:divsChild>
            </w:div>
            <w:div w:id="1059475836">
              <w:marLeft w:val="0"/>
              <w:marRight w:val="0"/>
              <w:marTop w:val="0"/>
              <w:marBottom w:val="0"/>
              <w:divBdr>
                <w:top w:val="none" w:sz="0" w:space="0" w:color="auto"/>
                <w:left w:val="none" w:sz="0" w:space="0" w:color="auto"/>
                <w:bottom w:val="none" w:sz="0" w:space="0" w:color="auto"/>
                <w:right w:val="none" w:sz="0" w:space="0" w:color="auto"/>
              </w:divBdr>
              <w:divsChild>
                <w:div w:id="587691468">
                  <w:marLeft w:val="150"/>
                  <w:marRight w:val="0"/>
                  <w:marTop w:val="0"/>
                  <w:marBottom w:val="300"/>
                  <w:divBdr>
                    <w:top w:val="single" w:sz="18" w:space="8" w:color="FFFFFF"/>
                    <w:left w:val="single" w:sz="18" w:space="8" w:color="FFFFFF"/>
                    <w:bottom w:val="single" w:sz="18" w:space="8" w:color="FFFFFF"/>
                    <w:right w:val="single" w:sz="18" w:space="8" w:color="FFFFFF"/>
                  </w:divBdr>
                  <w:divsChild>
                    <w:div w:id="1751349463">
                      <w:marLeft w:val="0"/>
                      <w:marRight w:val="0"/>
                      <w:marTop w:val="0"/>
                      <w:marBottom w:val="0"/>
                      <w:divBdr>
                        <w:top w:val="none" w:sz="0" w:space="0" w:color="auto"/>
                        <w:left w:val="none" w:sz="0" w:space="0" w:color="auto"/>
                        <w:bottom w:val="none" w:sz="0" w:space="0" w:color="auto"/>
                        <w:right w:val="none" w:sz="0" w:space="0" w:color="auto"/>
                      </w:divBdr>
                    </w:div>
                    <w:div w:id="1464496570">
                      <w:marLeft w:val="0"/>
                      <w:marRight w:val="0"/>
                      <w:marTop w:val="30"/>
                      <w:marBottom w:val="0"/>
                      <w:divBdr>
                        <w:top w:val="none" w:sz="0" w:space="0" w:color="auto"/>
                        <w:left w:val="none" w:sz="0" w:space="0" w:color="auto"/>
                        <w:bottom w:val="none" w:sz="0" w:space="0" w:color="auto"/>
                        <w:right w:val="none" w:sz="0" w:space="0" w:color="auto"/>
                      </w:divBdr>
                    </w:div>
                  </w:divsChild>
                </w:div>
                <w:div w:id="663321670">
                  <w:marLeft w:val="150"/>
                  <w:marRight w:val="0"/>
                  <w:marTop w:val="0"/>
                  <w:marBottom w:val="300"/>
                  <w:divBdr>
                    <w:top w:val="single" w:sz="18" w:space="8" w:color="FFFFFF"/>
                    <w:left w:val="single" w:sz="18" w:space="8" w:color="FFFFFF"/>
                    <w:bottom w:val="single" w:sz="18" w:space="8" w:color="FFFFFF"/>
                    <w:right w:val="single" w:sz="18" w:space="8" w:color="FFFFFF"/>
                  </w:divBdr>
                </w:div>
              </w:divsChild>
            </w:div>
          </w:divsChild>
        </w:div>
        <w:div w:id="1532500730">
          <w:marLeft w:val="-75"/>
          <w:marRight w:val="-75"/>
          <w:marTop w:val="0"/>
          <w:marBottom w:val="0"/>
          <w:divBdr>
            <w:top w:val="none" w:sz="0" w:space="0" w:color="auto"/>
            <w:left w:val="none" w:sz="0" w:space="0" w:color="auto"/>
            <w:bottom w:val="none" w:sz="0" w:space="0" w:color="auto"/>
            <w:right w:val="none" w:sz="0" w:space="0" w:color="auto"/>
          </w:divBdr>
          <w:divsChild>
            <w:div w:id="1031998971">
              <w:marLeft w:val="0"/>
              <w:marRight w:val="0"/>
              <w:marTop w:val="0"/>
              <w:marBottom w:val="0"/>
              <w:divBdr>
                <w:top w:val="none" w:sz="0" w:space="0" w:color="auto"/>
                <w:left w:val="none" w:sz="0" w:space="0" w:color="auto"/>
                <w:bottom w:val="none" w:sz="0" w:space="0" w:color="auto"/>
                <w:right w:val="none" w:sz="0" w:space="0" w:color="auto"/>
              </w:divBdr>
              <w:divsChild>
                <w:div w:id="844057326">
                  <w:marLeft w:val="0"/>
                  <w:marRight w:val="0"/>
                  <w:marTop w:val="0"/>
                  <w:marBottom w:val="0"/>
                  <w:divBdr>
                    <w:top w:val="none" w:sz="0" w:space="0" w:color="auto"/>
                    <w:left w:val="none" w:sz="0" w:space="0" w:color="auto"/>
                    <w:bottom w:val="none" w:sz="0" w:space="0" w:color="auto"/>
                    <w:right w:val="none" w:sz="0" w:space="0" w:color="auto"/>
                  </w:divBdr>
                </w:div>
              </w:divsChild>
            </w:div>
            <w:div w:id="707797590">
              <w:marLeft w:val="0"/>
              <w:marRight w:val="0"/>
              <w:marTop w:val="0"/>
              <w:marBottom w:val="0"/>
              <w:divBdr>
                <w:top w:val="none" w:sz="0" w:space="0" w:color="auto"/>
                <w:left w:val="none" w:sz="0" w:space="0" w:color="auto"/>
                <w:bottom w:val="none" w:sz="0" w:space="0" w:color="auto"/>
                <w:right w:val="none" w:sz="0" w:space="0" w:color="auto"/>
              </w:divBdr>
              <w:divsChild>
                <w:div w:id="1653413459">
                  <w:marLeft w:val="0"/>
                  <w:marRight w:val="0"/>
                  <w:marTop w:val="0"/>
                  <w:marBottom w:val="0"/>
                  <w:divBdr>
                    <w:top w:val="none" w:sz="0" w:space="0" w:color="auto"/>
                    <w:left w:val="none" w:sz="0" w:space="0" w:color="auto"/>
                    <w:bottom w:val="none" w:sz="0" w:space="0" w:color="auto"/>
                    <w:right w:val="none" w:sz="0" w:space="0" w:color="auto"/>
                  </w:divBdr>
                </w:div>
                <w:div w:id="2332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2048</Words>
  <Characters>11269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Delphine</dc:creator>
  <cp:lastModifiedBy>MEYER Delphine</cp:lastModifiedBy>
  <cp:revision>1</cp:revision>
  <dcterms:created xsi:type="dcterms:W3CDTF">2017-11-29T05:22:00Z</dcterms:created>
  <dcterms:modified xsi:type="dcterms:W3CDTF">2017-11-29T07:33:00Z</dcterms:modified>
</cp:coreProperties>
</file>